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B78F5" w14:textId="77777777" w:rsidR="00075555" w:rsidRDefault="00075555" w:rsidP="00075555">
      <w:pPr>
        <w:pStyle w:val="BodyText"/>
        <w:rPr>
          <w:rFonts w:ascii="Arial" w:hAnsi="Arial" w:cs="Arial"/>
        </w:rPr>
      </w:pPr>
      <w:r>
        <w:rPr>
          <w:rFonts w:ascii="Arial" w:hAnsi="Arial" w:cs="Arial"/>
        </w:rPr>
        <w:t>CHADDESLEY CORBETT ENDOWED PRIMARY SCHOOL</w:t>
      </w:r>
    </w:p>
    <w:p w14:paraId="3EFC1403" w14:textId="77777777" w:rsidR="00075555" w:rsidRDefault="00075555" w:rsidP="00075555">
      <w:pPr>
        <w:jc w:val="center"/>
      </w:pPr>
    </w:p>
    <w:p w14:paraId="67989C17" w14:textId="64AF1AC7" w:rsidR="00075555" w:rsidRDefault="00075555" w:rsidP="008550F0">
      <w:r>
        <w:rPr>
          <w:noProof/>
          <w:lang w:val="en-GB" w:eastAsia="en-GB"/>
        </w:rPr>
        <w:drawing>
          <wp:anchor distT="0" distB="0" distL="114300" distR="114300" simplePos="0" relativeHeight="251660288" behindDoc="0" locked="0" layoutInCell="1" allowOverlap="1" wp14:anchorId="72230C51" wp14:editId="3326704D">
            <wp:simplePos x="0" y="0"/>
            <wp:positionH relativeFrom="column">
              <wp:posOffset>1887747</wp:posOffset>
            </wp:positionH>
            <wp:positionV relativeFrom="paragraph">
              <wp:align>top</wp:align>
            </wp:positionV>
            <wp:extent cx="3962400" cy="3410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410585"/>
                    </a:xfrm>
                    <a:prstGeom prst="rect">
                      <a:avLst/>
                    </a:prstGeom>
                    <a:noFill/>
                    <a:ln>
                      <a:noFill/>
                    </a:ln>
                  </pic:spPr>
                </pic:pic>
              </a:graphicData>
            </a:graphic>
          </wp:anchor>
        </w:drawing>
      </w:r>
      <w:r w:rsidR="008550F0">
        <w:br w:type="textWrapping" w:clear="all"/>
      </w:r>
    </w:p>
    <w:p w14:paraId="0284E631" w14:textId="77777777" w:rsidR="00517529" w:rsidRPr="000148A0" w:rsidRDefault="00517529" w:rsidP="00517529">
      <w:pPr>
        <w:jc w:val="center"/>
        <w:rPr>
          <w:sz w:val="72"/>
          <w:szCs w:val="72"/>
        </w:rPr>
      </w:pPr>
      <w:r w:rsidRPr="000148A0">
        <w:rPr>
          <w:sz w:val="72"/>
          <w:szCs w:val="72"/>
        </w:rPr>
        <w:t>Relationship</w:t>
      </w:r>
      <w:r>
        <w:rPr>
          <w:sz w:val="72"/>
          <w:szCs w:val="72"/>
        </w:rPr>
        <w:t>s</w:t>
      </w:r>
      <w:r w:rsidRPr="000148A0">
        <w:rPr>
          <w:sz w:val="72"/>
          <w:szCs w:val="72"/>
        </w:rPr>
        <w:t xml:space="preserve"> </w:t>
      </w:r>
      <w:r>
        <w:rPr>
          <w:sz w:val="72"/>
          <w:szCs w:val="72"/>
        </w:rPr>
        <w:t xml:space="preserve">and Health Education </w:t>
      </w:r>
      <w:r w:rsidRPr="000148A0">
        <w:rPr>
          <w:sz w:val="72"/>
          <w:szCs w:val="72"/>
        </w:rPr>
        <w:t>Policy</w:t>
      </w:r>
    </w:p>
    <w:p w14:paraId="0AE56610" w14:textId="77777777" w:rsidR="00517529" w:rsidRDefault="00517529" w:rsidP="00075555">
      <w:pPr>
        <w:jc w:val="center"/>
      </w:pPr>
    </w:p>
    <w:tbl>
      <w:tblPr>
        <w:tblStyle w:val="TableGrid"/>
        <w:tblW w:w="0" w:type="auto"/>
        <w:tblLook w:val="04A0" w:firstRow="1" w:lastRow="0" w:firstColumn="1" w:lastColumn="0" w:noHBand="0" w:noVBand="1"/>
      </w:tblPr>
      <w:tblGrid>
        <w:gridCol w:w="3510"/>
        <w:gridCol w:w="5732"/>
      </w:tblGrid>
      <w:tr w:rsidR="00075555" w14:paraId="6351DA66" w14:textId="77777777" w:rsidTr="00517529">
        <w:tc>
          <w:tcPr>
            <w:tcW w:w="3510" w:type="dxa"/>
          </w:tcPr>
          <w:p w14:paraId="14F6AE77" w14:textId="77777777" w:rsidR="00075555" w:rsidRDefault="00075555" w:rsidP="00517529">
            <w:pPr>
              <w:jc w:val="center"/>
              <w:rPr>
                <w:rFonts w:ascii="Arial" w:hAnsi="Arial" w:cs="Arial"/>
              </w:rPr>
            </w:pPr>
            <w:r>
              <w:rPr>
                <w:rFonts w:ascii="Arial" w:hAnsi="Arial" w:cs="Arial"/>
              </w:rPr>
              <w:t>Author</w:t>
            </w:r>
          </w:p>
        </w:tc>
        <w:tc>
          <w:tcPr>
            <w:tcW w:w="5732" w:type="dxa"/>
          </w:tcPr>
          <w:p w14:paraId="1A146DE8" w14:textId="77777777" w:rsidR="00075555" w:rsidRDefault="00075555" w:rsidP="00517529">
            <w:pPr>
              <w:jc w:val="center"/>
              <w:rPr>
                <w:rFonts w:ascii="Arial" w:hAnsi="Arial" w:cs="Arial"/>
              </w:rPr>
            </w:pPr>
          </w:p>
          <w:p w14:paraId="568FBCFB" w14:textId="075F91A0" w:rsidR="00517529" w:rsidRDefault="00517529" w:rsidP="00517529">
            <w:pPr>
              <w:jc w:val="center"/>
              <w:rPr>
                <w:rFonts w:ascii="Arial" w:hAnsi="Arial" w:cs="Arial"/>
              </w:rPr>
            </w:pPr>
            <w:r>
              <w:rPr>
                <w:rFonts w:ascii="Arial" w:hAnsi="Arial" w:cs="Arial"/>
              </w:rPr>
              <w:t>E James</w:t>
            </w:r>
          </w:p>
        </w:tc>
      </w:tr>
      <w:tr w:rsidR="00075555" w14:paraId="321679FB" w14:textId="77777777" w:rsidTr="00517529">
        <w:tc>
          <w:tcPr>
            <w:tcW w:w="3510" w:type="dxa"/>
          </w:tcPr>
          <w:p w14:paraId="56346680" w14:textId="77777777" w:rsidR="00075555" w:rsidRDefault="00075555" w:rsidP="00517529">
            <w:pPr>
              <w:jc w:val="center"/>
              <w:rPr>
                <w:rFonts w:ascii="Arial" w:hAnsi="Arial" w:cs="Arial"/>
              </w:rPr>
            </w:pPr>
            <w:r>
              <w:rPr>
                <w:rFonts w:ascii="Arial" w:hAnsi="Arial" w:cs="Arial"/>
              </w:rPr>
              <w:t>Version</w:t>
            </w:r>
          </w:p>
        </w:tc>
        <w:tc>
          <w:tcPr>
            <w:tcW w:w="5732" w:type="dxa"/>
          </w:tcPr>
          <w:p w14:paraId="334D2879" w14:textId="6E0FD093" w:rsidR="00075555" w:rsidRDefault="00AF66A1" w:rsidP="0027630A">
            <w:pPr>
              <w:jc w:val="center"/>
              <w:rPr>
                <w:rFonts w:ascii="Arial" w:hAnsi="Arial" w:cs="Arial"/>
              </w:rPr>
            </w:pPr>
            <w:r>
              <w:rPr>
                <w:rFonts w:ascii="Arial" w:hAnsi="Arial" w:cs="Arial"/>
              </w:rPr>
              <w:t xml:space="preserve">Version </w:t>
            </w:r>
            <w:r w:rsidR="00517529">
              <w:rPr>
                <w:rFonts w:ascii="Arial" w:hAnsi="Arial" w:cs="Arial"/>
              </w:rPr>
              <w:t>4</w:t>
            </w:r>
          </w:p>
        </w:tc>
      </w:tr>
      <w:tr w:rsidR="00075555" w14:paraId="68AC2405" w14:textId="77777777" w:rsidTr="00517529">
        <w:tc>
          <w:tcPr>
            <w:tcW w:w="3510" w:type="dxa"/>
          </w:tcPr>
          <w:p w14:paraId="23526BBA" w14:textId="77777777" w:rsidR="00075555" w:rsidRDefault="00075555" w:rsidP="00517529">
            <w:pPr>
              <w:jc w:val="center"/>
              <w:rPr>
                <w:rFonts w:ascii="Arial" w:hAnsi="Arial" w:cs="Arial"/>
              </w:rPr>
            </w:pPr>
            <w:r>
              <w:rPr>
                <w:rFonts w:ascii="Arial" w:hAnsi="Arial" w:cs="Arial"/>
              </w:rPr>
              <w:t>Date approved by Governors</w:t>
            </w:r>
          </w:p>
        </w:tc>
        <w:tc>
          <w:tcPr>
            <w:tcW w:w="5732" w:type="dxa"/>
          </w:tcPr>
          <w:p w14:paraId="2BFB745F" w14:textId="3A845ADE" w:rsidR="00075555" w:rsidRDefault="008550F0" w:rsidP="0062124F">
            <w:pPr>
              <w:jc w:val="center"/>
              <w:rPr>
                <w:rFonts w:ascii="Arial" w:hAnsi="Arial" w:cs="Arial"/>
              </w:rPr>
            </w:pPr>
            <w:r>
              <w:rPr>
                <w:rFonts w:ascii="Arial" w:hAnsi="Arial" w:cs="Arial"/>
              </w:rPr>
              <w:t>December 2021</w:t>
            </w:r>
          </w:p>
        </w:tc>
      </w:tr>
      <w:tr w:rsidR="00075555" w14:paraId="687952EE" w14:textId="77777777" w:rsidTr="00517529">
        <w:tc>
          <w:tcPr>
            <w:tcW w:w="3510" w:type="dxa"/>
          </w:tcPr>
          <w:p w14:paraId="2EEEC6E8" w14:textId="77777777" w:rsidR="00075555" w:rsidRDefault="00075555" w:rsidP="00517529">
            <w:pPr>
              <w:jc w:val="center"/>
              <w:rPr>
                <w:rFonts w:ascii="Arial" w:hAnsi="Arial" w:cs="Arial"/>
              </w:rPr>
            </w:pPr>
            <w:r>
              <w:rPr>
                <w:rFonts w:ascii="Arial" w:hAnsi="Arial" w:cs="Arial"/>
              </w:rPr>
              <w:t>Date of next review</w:t>
            </w:r>
          </w:p>
        </w:tc>
        <w:tc>
          <w:tcPr>
            <w:tcW w:w="5732" w:type="dxa"/>
          </w:tcPr>
          <w:p w14:paraId="19518C1F" w14:textId="65ED356F" w:rsidR="00075555" w:rsidRDefault="008550F0" w:rsidP="0027630A">
            <w:pPr>
              <w:jc w:val="center"/>
              <w:rPr>
                <w:rFonts w:ascii="Arial" w:hAnsi="Arial" w:cs="Arial"/>
              </w:rPr>
            </w:pPr>
            <w:r>
              <w:rPr>
                <w:rFonts w:ascii="Arial" w:hAnsi="Arial" w:cs="Arial"/>
              </w:rPr>
              <w:t>December 2023</w:t>
            </w:r>
            <w:bookmarkStart w:id="0" w:name="_GoBack"/>
            <w:bookmarkEnd w:id="0"/>
          </w:p>
        </w:tc>
      </w:tr>
    </w:tbl>
    <w:p w14:paraId="66C0C724" w14:textId="2AB2603E" w:rsidR="00075555" w:rsidRDefault="00517529" w:rsidP="00513D34">
      <w:pPr>
        <w:spacing w:before="100" w:beforeAutospacing="1" w:after="100" w:afterAutospacing="1"/>
        <w:rPr>
          <w:rFonts w:ascii="Calibri" w:hAnsi="Calibri" w:cs="Times New Roman"/>
          <w:sz w:val="28"/>
          <w:szCs w:val="28"/>
          <w:lang w:val="en-GB"/>
        </w:rPr>
      </w:pPr>
      <w:r w:rsidRPr="00517529">
        <w:rPr>
          <w:rFonts w:ascii="Arial" w:eastAsia="Arial" w:hAnsi="Arial" w:cs="Arial"/>
          <w:noProof/>
          <w:sz w:val="32"/>
          <w:szCs w:val="32"/>
          <w:lang w:val="en-GB" w:eastAsia="en-GB"/>
        </w:rPr>
        <w:lastRenderedPageBreak/>
        <mc:AlternateContent>
          <mc:Choice Requires="wps">
            <w:drawing>
              <wp:anchor distT="45720" distB="45720" distL="114300" distR="114300" simplePos="0" relativeHeight="251659264" behindDoc="0" locked="0" layoutInCell="1" allowOverlap="1" wp14:anchorId="316A6237" wp14:editId="66C4E5D7">
                <wp:simplePos x="0" y="0"/>
                <wp:positionH relativeFrom="margin">
                  <wp:posOffset>0</wp:posOffset>
                </wp:positionH>
                <wp:positionV relativeFrom="paragraph">
                  <wp:posOffset>459105</wp:posOffset>
                </wp:positionV>
                <wp:extent cx="5867400" cy="14097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9700"/>
                        </a:xfrm>
                        <a:prstGeom prst="rect">
                          <a:avLst/>
                        </a:prstGeom>
                        <a:solidFill>
                          <a:srgbClr val="FFFFFF"/>
                        </a:solidFill>
                        <a:ln w="28575">
                          <a:solidFill>
                            <a:schemeClr val="accent3">
                              <a:lumMod val="50000"/>
                            </a:schemeClr>
                          </a:solidFill>
                          <a:miter lim="800000"/>
                          <a:headEnd/>
                          <a:tailEnd/>
                        </a:ln>
                      </wps:spPr>
                      <wps:txbx>
                        <w:txbxContent>
                          <w:p w14:paraId="3B1944CB" w14:textId="77777777" w:rsidR="00AF7B10" w:rsidRDefault="00AF7B10" w:rsidP="00517529">
                            <w:pPr>
                              <w:jc w:val="both"/>
                            </w:pPr>
                            <w:r>
                              <w:t xml:space="preserve">Please note that the </w:t>
                            </w:r>
                            <w:proofErr w:type="spellStart"/>
                            <w:r>
                              <w:t>DfE’s</w:t>
                            </w:r>
                            <w:proofErr w:type="spellEnd"/>
                            <w:r>
                              <w:t xml:space="preserve"> ‘Relationships Education, Relationships and Sex Education, and Health Education in England’ and The Relationships Education, Relationships and Sex Education and Health Education (England) Regulations 2019 will be statutory from 1 September 2020. Schools are encouraged to adopt the new curriculum from September 2019 but are not obliged to do so. Schools that adopt the new curriculum early will still need to meet the requirements outlined in the current ‘Sex and Relationship Education Guidance’ until the new guidance comes into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6A6237" id="_x0000_t202" coordsize="21600,21600" o:spt="202" path="m,l,21600r21600,l21600,xe">
                <v:stroke joinstyle="miter"/>
                <v:path gradientshapeok="t" o:connecttype="rect"/>
              </v:shapetype>
              <v:shape id="Text Box 2" o:spid="_x0000_s1026" type="#_x0000_t202" style="position:absolute;margin-left:0;margin-top:36.15pt;width:462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" strokecolor="#4e6128 [1606]" strokeweight="2.25pt">
                <v:textbox>
                  <w:txbxContent>
                    <w:p w14:paraId="3B1944CB" w14:textId="77777777" w:rsidR="00AF7B10" w:rsidRDefault="00AF7B10" w:rsidP="00517529">
                      <w:pPr>
                        <w:jc w:val="both"/>
                      </w:pPr>
                      <w:r>
                        <w:t xml:space="preserve">Please note that the </w:t>
                      </w:r>
                      <w:proofErr w:type="spellStart"/>
                      <w:r>
                        <w:t>DfE’s</w:t>
                      </w:r>
                      <w:proofErr w:type="spellEnd"/>
                      <w:r>
                        <w:t xml:space="preserve"> ‘Relationships Education, Relationships and Sex Education, and Health Education in England’ and The Relationships Education, Relationships and Sex Education and Health Education (England) Regulations 2019 will be statutory from 1 September 2020. Schools are encouraged to adopt the new curriculum from September 2019 but are not obliged to do so. Schools that adopt the new curriculum early will still need to meet the requirements outlined in the current ‘Sex and Relationship Education Guidance’ until the new guidance comes into effect.</w:t>
                      </w:r>
                    </w:p>
                  </w:txbxContent>
                </v:textbox>
                <w10:wrap type="square" anchorx="margin"/>
              </v:shape>
            </w:pict>
          </mc:Fallback>
        </mc:AlternateContent>
      </w:r>
    </w:p>
    <w:p w14:paraId="4FE33558" w14:textId="5A82603C" w:rsidR="00517529" w:rsidRPr="00517529" w:rsidRDefault="00517529" w:rsidP="00517529">
      <w:pPr>
        <w:pStyle w:val="TSB-PolicyBullets"/>
        <w:numPr>
          <w:ilvl w:val="0"/>
          <w:numId w:val="0"/>
        </w:numPr>
        <w:jc w:val="both"/>
        <w:rPr>
          <w:rFonts w:ascii="Arial" w:hAnsi="Arial" w:cs="Arial"/>
          <w:sz w:val="24"/>
          <w:szCs w:val="24"/>
        </w:rPr>
      </w:pPr>
      <w:r w:rsidRPr="00517529">
        <w:rPr>
          <w:rFonts w:ascii="Arial" w:hAnsi="Arial" w:cs="Arial"/>
          <w:sz w:val="24"/>
          <w:szCs w:val="24"/>
        </w:rPr>
        <w:t>Legal Framework</w:t>
      </w:r>
    </w:p>
    <w:p w14:paraId="074880BC" w14:textId="77777777" w:rsidR="00517529" w:rsidRDefault="00517529" w:rsidP="00517529">
      <w:pPr>
        <w:pStyle w:val="TSB-PolicyBullets"/>
        <w:ind w:left="1843"/>
        <w:jc w:val="both"/>
      </w:pPr>
      <w:r>
        <w:t>Section 80A of the Education Act 2002</w:t>
      </w:r>
    </w:p>
    <w:p w14:paraId="037F6E2A" w14:textId="77777777" w:rsidR="00517529" w:rsidRDefault="00517529" w:rsidP="00517529">
      <w:pPr>
        <w:pStyle w:val="TSB-PolicyBullets"/>
        <w:ind w:left="1843"/>
        <w:jc w:val="both"/>
      </w:pPr>
      <w:r>
        <w:t>Children and Social Work Act 2017</w:t>
      </w:r>
    </w:p>
    <w:p w14:paraId="4AB1E7C5" w14:textId="77777777" w:rsidR="00517529" w:rsidRDefault="00517529" w:rsidP="00517529">
      <w:pPr>
        <w:pStyle w:val="TSB-PolicyBullets"/>
        <w:ind w:left="1843"/>
        <w:jc w:val="both"/>
      </w:pPr>
      <w:r>
        <w:t>The Relationships Education, Relationships and Sex Education and Health Education (England) Regulations 2019</w:t>
      </w:r>
    </w:p>
    <w:p w14:paraId="26155858" w14:textId="77777777" w:rsidR="00517529" w:rsidRDefault="00517529" w:rsidP="00517529">
      <w:pPr>
        <w:pStyle w:val="TSB-PolicyBullets"/>
        <w:ind w:left="1843"/>
        <w:jc w:val="both"/>
      </w:pPr>
      <w:r>
        <w:t>Equality Act 2010</w:t>
      </w:r>
    </w:p>
    <w:p w14:paraId="1BEAF167" w14:textId="77777777" w:rsidR="00517529" w:rsidRDefault="00517529" w:rsidP="00517529">
      <w:pPr>
        <w:pStyle w:val="TSB-PolicyBullets"/>
        <w:ind w:left="1843"/>
        <w:jc w:val="both"/>
      </w:pPr>
      <w:proofErr w:type="spellStart"/>
      <w:r>
        <w:t>DfE</w:t>
      </w:r>
      <w:proofErr w:type="spellEnd"/>
      <w:r>
        <w:t xml:space="preserve"> (2019) ‘Relationships, Education, Relationships and Sex Education (RSE) and Health Education’</w:t>
      </w:r>
    </w:p>
    <w:p w14:paraId="1F3BB032" w14:textId="77777777" w:rsidR="00517529" w:rsidRPr="00CF4E57" w:rsidRDefault="00517529" w:rsidP="00517529">
      <w:pPr>
        <w:pStyle w:val="TSB-PolicyBullets"/>
        <w:ind w:left="1843"/>
        <w:jc w:val="both"/>
        <w:rPr>
          <w:color w:val="000000" w:themeColor="text1"/>
        </w:rPr>
      </w:pPr>
      <w:proofErr w:type="spellStart"/>
      <w:r w:rsidRPr="00CF4E57">
        <w:rPr>
          <w:color w:val="000000" w:themeColor="text1"/>
        </w:rPr>
        <w:t>DfE</w:t>
      </w:r>
      <w:proofErr w:type="spellEnd"/>
      <w:r w:rsidRPr="00CF4E57">
        <w:rPr>
          <w:color w:val="000000" w:themeColor="text1"/>
        </w:rPr>
        <w:t xml:space="preserve"> (2013) ‘Science programmes of study: key stages 1 and 2’</w:t>
      </w:r>
    </w:p>
    <w:p w14:paraId="7F0EEDDC" w14:textId="77777777" w:rsidR="00517529" w:rsidRPr="00517529" w:rsidRDefault="00517529" w:rsidP="00517529">
      <w:pPr>
        <w:pStyle w:val="Heading1"/>
        <w:numPr>
          <w:ilvl w:val="0"/>
          <w:numId w:val="8"/>
        </w:numPr>
        <w:ind w:left="1077" w:hanging="720"/>
        <w:rPr>
          <w:rFonts w:ascii="Arial" w:hAnsi="Arial" w:cs="Arial"/>
          <w:b/>
          <w:sz w:val="24"/>
          <w:szCs w:val="24"/>
        </w:rPr>
      </w:pPr>
      <w:r w:rsidRPr="00517529">
        <w:rPr>
          <w:rFonts w:ascii="Arial" w:hAnsi="Arial" w:cs="Arial"/>
          <w:b/>
          <w:sz w:val="24"/>
          <w:szCs w:val="24"/>
        </w:rPr>
        <w:t xml:space="preserve">Organisation of the curriculum </w:t>
      </w:r>
    </w:p>
    <w:p w14:paraId="7AC80907"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 xml:space="preserve">Every primary school is required to deliver statutory relationships education and health education. </w:t>
      </w:r>
    </w:p>
    <w:p w14:paraId="670F5856"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 xml:space="preserve">For the purpose of this policy, </w:t>
      </w:r>
      <w:r w:rsidRPr="00517529">
        <w:rPr>
          <w:rFonts w:ascii="Arial" w:hAnsi="Arial" w:cs="Arial"/>
          <w:b/>
          <w:sz w:val="24"/>
          <w:szCs w:val="24"/>
        </w:rPr>
        <w:t>“relationships and sex education”</w:t>
      </w:r>
      <w:r w:rsidRPr="00517529">
        <w:rPr>
          <w:rFonts w:ascii="Arial" w:hAnsi="Arial" w:cs="Arial"/>
          <w:sz w:val="24"/>
          <w:szCs w:val="24"/>
        </w:rPr>
        <w:t xml:space="preserve"> is defined as teaching pupils about healthy, respectful relationships, focussing on family and friendships, in all contexts, including online, as well as developing an understanding of human sexuality. </w:t>
      </w:r>
    </w:p>
    <w:p w14:paraId="52BCD2C1"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 xml:space="preserve">For the purpose of this policy, </w:t>
      </w:r>
      <w:r w:rsidRPr="00517529">
        <w:rPr>
          <w:rFonts w:ascii="Arial" w:hAnsi="Arial" w:cs="Arial"/>
          <w:b/>
          <w:sz w:val="24"/>
          <w:szCs w:val="24"/>
        </w:rPr>
        <w:t xml:space="preserve">“health education” </w:t>
      </w:r>
      <w:r w:rsidRPr="00517529">
        <w:rPr>
          <w:rFonts w:ascii="Arial" w:hAnsi="Arial" w:cs="Arial"/>
          <w:sz w:val="24"/>
          <w:szCs w:val="24"/>
        </w:rPr>
        <w:t>is defined as teaching pupils about physical health and mental wellbeing, focussing on recognising the link between the two and being able to make healthy lifestyle choices.</w:t>
      </w:r>
    </w:p>
    <w:p w14:paraId="36460811" w14:textId="066CF96B"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 xml:space="preserve">The delivery of the relationships education and health education coincide with one another and will be delivered as part of the school’s </w:t>
      </w:r>
      <w:r>
        <w:rPr>
          <w:rFonts w:ascii="Arial" w:hAnsi="Arial" w:cs="Arial"/>
          <w:sz w:val="24"/>
          <w:szCs w:val="24"/>
        </w:rPr>
        <w:t>wider curriculum and safeguarding education.</w:t>
      </w:r>
    </w:p>
    <w:p w14:paraId="37B03D4E"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 xml:space="preserve">The relationships and health curriculum has been organised in line with the statutory requirements outlined in the </w:t>
      </w:r>
      <w:proofErr w:type="spellStart"/>
      <w:r w:rsidRPr="00517529">
        <w:rPr>
          <w:rFonts w:ascii="Arial" w:hAnsi="Arial" w:cs="Arial"/>
          <w:sz w:val="24"/>
          <w:szCs w:val="24"/>
        </w:rPr>
        <w:t>DfE</w:t>
      </w:r>
      <w:proofErr w:type="spellEnd"/>
      <w:r w:rsidRPr="00517529">
        <w:rPr>
          <w:rFonts w:ascii="Arial" w:hAnsi="Arial" w:cs="Arial"/>
          <w:sz w:val="24"/>
          <w:szCs w:val="24"/>
        </w:rPr>
        <w:t xml:space="preserve"> (2019) ‘Relationships, Education, Relationships and Sex Education (RSE) and Health Education’ guidance.</w:t>
      </w:r>
    </w:p>
    <w:p w14:paraId="7F2CBDF6"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lastRenderedPageBreak/>
        <w:t>The relationships and health curriculum takes into account the views of teachers, pupils and parents. We are dedicated to ensuring our curriculum meets the needs of the whole-school community.</w:t>
      </w:r>
    </w:p>
    <w:p w14:paraId="72808465" w14:textId="7FF4A157" w:rsidR="00517529" w:rsidRPr="00517529" w:rsidRDefault="00517529" w:rsidP="00517529">
      <w:pPr>
        <w:pStyle w:val="TSB-Level1Numbers"/>
        <w:numPr>
          <w:ilvl w:val="1"/>
          <w:numId w:val="8"/>
        </w:numPr>
        <w:ind w:left="1423"/>
        <w:jc w:val="both"/>
        <w:rPr>
          <w:rFonts w:ascii="Arial" w:hAnsi="Arial" w:cs="Arial"/>
          <w:sz w:val="24"/>
          <w:szCs w:val="24"/>
        </w:rPr>
      </w:pPr>
      <w:bookmarkStart w:id="1" w:name="_Hlk2341650"/>
      <w:r w:rsidRPr="00517529">
        <w:rPr>
          <w:rFonts w:ascii="Arial" w:hAnsi="Arial" w:cs="Arial"/>
          <w:sz w:val="24"/>
          <w:szCs w:val="24"/>
        </w:rPr>
        <w:t>The relationships and health curriculum is informed by issues in the school and wider community to ensure it is tailored to pupils’ needs</w:t>
      </w:r>
      <w:bookmarkEnd w:id="1"/>
      <w:r>
        <w:rPr>
          <w:rFonts w:ascii="Arial" w:hAnsi="Arial" w:cs="Arial"/>
          <w:sz w:val="24"/>
          <w:szCs w:val="24"/>
        </w:rPr>
        <w:t xml:space="preserve">. </w:t>
      </w:r>
    </w:p>
    <w:p w14:paraId="27DAA81C" w14:textId="77777777" w:rsidR="00517529" w:rsidRPr="00517529" w:rsidRDefault="00517529" w:rsidP="00517529">
      <w:pPr>
        <w:pStyle w:val="TSB-Level1Numbers"/>
        <w:numPr>
          <w:ilvl w:val="1"/>
          <w:numId w:val="8"/>
        </w:numPr>
        <w:ind w:left="1423"/>
        <w:jc w:val="both"/>
        <w:rPr>
          <w:rFonts w:ascii="Arial" w:hAnsi="Arial" w:cs="Arial"/>
          <w:color w:val="000000" w:themeColor="text1"/>
          <w:sz w:val="24"/>
          <w:szCs w:val="24"/>
        </w:rPr>
      </w:pPr>
      <w:r w:rsidRPr="00517529">
        <w:rPr>
          <w:rFonts w:ascii="Arial" w:hAnsi="Arial" w:cs="Arial"/>
          <w:color w:val="000000" w:themeColor="text1"/>
          <w:sz w:val="24"/>
          <w:szCs w:val="24"/>
        </w:rPr>
        <w:t>Any parent, teacher or pupil wishing to provide feedback about the curriculum can do so at any time during the academic year by:</w:t>
      </w:r>
    </w:p>
    <w:p w14:paraId="0A7008B3" w14:textId="2493BE36" w:rsidR="00517529" w:rsidRPr="00517529" w:rsidRDefault="00517529" w:rsidP="00517529">
      <w:pPr>
        <w:pStyle w:val="TSB-PolicyBullets"/>
        <w:ind w:left="2127"/>
        <w:jc w:val="both"/>
        <w:rPr>
          <w:rFonts w:ascii="Arial" w:hAnsi="Arial" w:cs="Arial"/>
          <w:b/>
          <w:color w:val="4F6228" w:themeColor="accent3" w:themeShade="80"/>
          <w:sz w:val="24"/>
          <w:szCs w:val="24"/>
          <w:u w:val="single"/>
        </w:rPr>
      </w:pPr>
      <w:r w:rsidRPr="00517529">
        <w:rPr>
          <w:rFonts w:ascii="Arial" w:hAnsi="Arial" w:cs="Arial"/>
          <w:b/>
          <w:color w:val="4F6228" w:themeColor="accent3" w:themeShade="80"/>
          <w:sz w:val="24"/>
          <w:szCs w:val="24"/>
          <w:u w:val="single"/>
        </w:rPr>
        <w:t>Organising a meeting with the head teacher.</w:t>
      </w:r>
    </w:p>
    <w:p w14:paraId="070A7C4B" w14:textId="7CB9AD8E" w:rsidR="00517529" w:rsidRPr="00517529" w:rsidRDefault="00517529" w:rsidP="00517529">
      <w:pPr>
        <w:pStyle w:val="TSB-PolicyBullets"/>
        <w:ind w:left="2127"/>
        <w:jc w:val="both"/>
        <w:rPr>
          <w:rFonts w:ascii="Arial" w:hAnsi="Arial" w:cs="Arial"/>
          <w:color w:val="4F6228" w:themeColor="accent3" w:themeShade="80"/>
          <w:sz w:val="24"/>
          <w:szCs w:val="24"/>
        </w:rPr>
      </w:pPr>
      <w:r w:rsidRPr="00517529">
        <w:rPr>
          <w:rFonts w:ascii="Arial" w:hAnsi="Arial" w:cs="Arial"/>
          <w:b/>
          <w:color w:val="4F6228" w:themeColor="accent3" w:themeShade="80"/>
          <w:sz w:val="24"/>
          <w:szCs w:val="24"/>
          <w:u w:val="single"/>
        </w:rPr>
        <w:t>Emailing office’chaddesleycorbett.worcs.sch.uk</w:t>
      </w:r>
    </w:p>
    <w:p w14:paraId="4A75A90A" w14:textId="15AFEFC3"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The school has organised a curriculum that is age-appropriate for pupils within each year group</w:t>
      </w:r>
      <w:r>
        <w:rPr>
          <w:rFonts w:ascii="Arial" w:hAnsi="Arial" w:cs="Arial"/>
          <w:sz w:val="24"/>
          <w:szCs w:val="24"/>
        </w:rPr>
        <w:t>.</w:t>
      </w:r>
    </w:p>
    <w:p w14:paraId="1EE2D16E"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When organising the curriculum, the religious backgrounds of all pupils will be considered, so that the topics that are covered are taught appropriately.</w:t>
      </w:r>
    </w:p>
    <w:p w14:paraId="4F28071F" w14:textId="77777777" w:rsidR="00517529" w:rsidRPr="00517529" w:rsidRDefault="00517529" w:rsidP="00517529">
      <w:pPr>
        <w:pStyle w:val="Heading1"/>
        <w:numPr>
          <w:ilvl w:val="0"/>
          <w:numId w:val="8"/>
        </w:numPr>
        <w:ind w:left="1077" w:hanging="720"/>
        <w:rPr>
          <w:rFonts w:ascii="Arial" w:hAnsi="Arial" w:cs="Arial"/>
          <w:b/>
          <w:sz w:val="24"/>
          <w:szCs w:val="24"/>
          <w:u w:val="single"/>
        </w:rPr>
      </w:pPr>
      <w:r w:rsidRPr="00517529">
        <w:rPr>
          <w:rFonts w:ascii="Arial" w:hAnsi="Arial" w:cs="Arial"/>
          <w:b/>
          <w:sz w:val="24"/>
          <w:szCs w:val="24"/>
          <w:u w:val="single"/>
        </w:rPr>
        <w:t>Relationships education overview</w:t>
      </w:r>
    </w:p>
    <w:p w14:paraId="4DA609CD" w14:textId="77777777" w:rsidR="00517529" w:rsidRPr="00517529" w:rsidRDefault="00517529" w:rsidP="00517529">
      <w:pPr>
        <w:pStyle w:val="TSB-Level1Numbers"/>
        <w:numPr>
          <w:ilvl w:val="0"/>
          <w:numId w:val="0"/>
        </w:numPr>
        <w:ind w:left="1854" w:hanging="431"/>
        <w:jc w:val="both"/>
        <w:rPr>
          <w:rFonts w:ascii="Arial" w:hAnsi="Arial" w:cs="Arial"/>
          <w:b/>
          <w:sz w:val="24"/>
          <w:szCs w:val="24"/>
        </w:rPr>
      </w:pPr>
      <w:r w:rsidRPr="00517529">
        <w:rPr>
          <w:rFonts w:ascii="Arial" w:hAnsi="Arial" w:cs="Arial"/>
          <w:b/>
          <w:sz w:val="24"/>
          <w:szCs w:val="24"/>
        </w:rPr>
        <w:t>Families and people who care for me</w:t>
      </w:r>
    </w:p>
    <w:p w14:paraId="75D2D9A2"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34F405BA"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That families are important for them growing up because they can give love, security and stability.</w:t>
      </w:r>
    </w:p>
    <w:p w14:paraId="108C7D60"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characteristics of healthy family life, commitment to each other, including in times of difficulty, protection and care for children and other family members, the importance of spending time together and sharing each other’s lives.</w:t>
      </w:r>
    </w:p>
    <w:p w14:paraId="78B28651"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others’ families, either in school or in the wider world, sometimes look different from their family, but that they should respect those differences and know that other children’s families are also characterised by love and care.</w:t>
      </w:r>
    </w:p>
    <w:p w14:paraId="73D7C556"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stable, caring relationships, which may be of different types, are at the heart of happy families, and are important for children’s security as they grow up.</w:t>
      </w:r>
    </w:p>
    <w:p w14:paraId="37BA7472"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marriage represents a formal and legally recognised commitment of two people to each other which is intended to be lifelong.</w:t>
      </w:r>
    </w:p>
    <w:p w14:paraId="07120B2A"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recognise if family relationships are making them feel unhappy or unsafe, and how to seek help or advice from others if needed.</w:t>
      </w:r>
    </w:p>
    <w:p w14:paraId="5A430440" w14:textId="77777777" w:rsidR="00517529" w:rsidRPr="00517529" w:rsidRDefault="00517529" w:rsidP="00517529">
      <w:pPr>
        <w:pStyle w:val="TSB-PolicyBullets"/>
        <w:numPr>
          <w:ilvl w:val="0"/>
          <w:numId w:val="0"/>
        </w:numPr>
        <w:ind w:left="1491" w:hanging="357"/>
        <w:jc w:val="both"/>
        <w:rPr>
          <w:rFonts w:ascii="Arial" w:hAnsi="Arial" w:cs="Arial"/>
          <w:sz w:val="24"/>
          <w:szCs w:val="24"/>
        </w:rPr>
      </w:pPr>
    </w:p>
    <w:p w14:paraId="5806FBB7" w14:textId="77777777" w:rsidR="00517529" w:rsidRPr="00517529" w:rsidRDefault="00517529" w:rsidP="00517529">
      <w:pPr>
        <w:pStyle w:val="TSB-PolicyBullets"/>
        <w:numPr>
          <w:ilvl w:val="0"/>
          <w:numId w:val="0"/>
        </w:numPr>
        <w:ind w:left="1780" w:hanging="357"/>
        <w:jc w:val="both"/>
        <w:rPr>
          <w:rFonts w:ascii="Arial" w:hAnsi="Arial" w:cs="Arial"/>
          <w:b/>
          <w:sz w:val="24"/>
          <w:szCs w:val="24"/>
        </w:rPr>
      </w:pPr>
      <w:r w:rsidRPr="00517529">
        <w:rPr>
          <w:rFonts w:ascii="Arial" w:hAnsi="Arial" w:cs="Arial"/>
          <w:b/>
          <w:sz w:val="24"/>
          <w:szCs w:val="24"/>
        </w:rPr>
        <w:t>Caring friendships</w:t>
      </w:r>
    </w:p>
    <w:p w14:paraId="1EF38DF9"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lastRenderedPageBreak/>
        <w:t>By the end of primary school, pupils will know:</w:t>
      </w:r>
    </w:p>
    <w:p w14:paraId="009A51EB"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How important friendships are in making us feel happy and secure, and how people choose and make friends.</w:t>
      </w:r>
    </w:p>
    <w:p w14:paraId="3B454A49"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The characteristics of friendships, including mutual respect, truthfulness, trustworthiness, loyalty, kindness, generosity, trust, sharing interests and experiences, and support with problems and difficulties.</w:t>
      </w:r>
    </w:p>
    <w:p w14:paraId="6C3FA8E9"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That healthy friendships are positive and welcoming towards others, and do not make others feel lonely or excluded.</w:t>
      </w:r>
    </w:p>
    <w:p w14:paraId="613FE881"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That most friendships have ups and downs, but that these can often be worked through so that the friendship is repaired or even strengthened, and that resorting to violence is never right.</w:t>
      </w:r>
    </w:p>
    <w:p w14:paraId="6BC7926C"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How to recognise who to trust and who not to trust.</w:t>
      </w:r>
    </w:p>
    <w:p w14:paraId="62493936"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 xml:space="preserve">How to judge when a friendship is making them feel unhappy or uncomfortable. </w:t>
      </w:r>
    </w:p>
    <w:p w14:paraId="2E24AFC0"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 xml:space="preserve">How to manage conflict. </w:t>
      </w:r>
    </w:p>
    <w:p w14:paraId="50771823" w14:textId="77777777" w:rsidR="00517529" w:rsidRPr="00517529" w:rsidRDefault="00517529" w:rsidP="00517529">
      <w:pPr>
        <w:pStyle w:val="TSB-PolicyBullets"/>
        <w:ind w:left="2127" w:hanging="284"/>
        <w:jc w:val="both"/>
        <w:rPr>
          <w:rFonts w:ascii="Arial" w:hAnsi="Arial" w:cs="Arial"/>
          <w:sz w:val="24"/>
          <w:szCs w:val="24"/>
        </w:rPr>
      </w:pPr>
      <w:r w:rsidRPr="00517529">
        <w:rPr>
          <w:rFonts w:ascii="Arial" w:hAnsi="Arial" w:cs="Arial"/>
          <w:sz w:val="24"/>
          <w:szCs w:val="24"/>
        </w:rPr>
        <w:t>How to manage different situations and how to seek help from others if needed.</w:t>
      </w:r>
    </w:p>
    <w:p w14:paraId="03E5EA2F" w14:textId="77777777" w:rsidR="00517529" w:rsidRPr="00517529" w:rsidRDefault="00517529" w:rsidP="00517529">
      <w:pPr>
        <w:pStyle w:val="TSB-PolicyBullets"/>
        <w:numPr>
          <w:ilvl w:val="0"/>
          <w:numId w:val="0"/>
        </w:numPr>
        <w:ind w:left="2127"/>
        <w:jc w:val="both"/>
        <w:rPr>
          <w:rFonts w:ascii="Arial" w:hAnsi="Arial" w:cs="Arial"/>
          <w:sz w:val="24"/>
          <w:szCs w:val="24"/>
        </w:rPr>
      </w:pPr>
    </w:p>
    <w:p w14:paraId="2655BD08" w14:textId="77777777" w:rsidR="00517529" w:rsidRPr="00517529" w:rsidRDefault="00517529" w:rsidP="00517529">
      <w:pPr>
        <w:pStyle w:val="TSB-PolicyBullets"/>
        <w:numPr>
          <w:ilvl w:val="0"/>
          <w:numId w:val="0"/>
        </w:numPr>
        <w:ind w:left="1780" w:hanging="357"/>
        <w:jc w:val="both"/>
        <w:rPr>
          <w:rFonts w:ascii="Arial" w:hAnsi="Arial" w:cs="Arial"/>
          <w:b/>
          <w:sz w:val="24"/>
          <w:szCs w:val="24"/>
        </w:rPr>
      </w:pPr>
      <w:r w:rsidRPr="00517529">
        <w:rPr>
          <w:rFonts w:ascii="Arial" w:hAnsi="Arial" w:cs="Arial"/>
          <w:b/>
          <w:sz w:val="24"/>
          <w:szCs w:val="24"/>
        </w:rPr>
        <w:t xml:space="preserve">Respectful relationships </w:t>
      </w:r>
    </w:p>
    <w:p w14:paraId="424198F9"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699663B8"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 xml:space="preserve">The importance of respecting others, even when they are very different from them (for example, physically, in character, personality or backgrounds), make different choices, or have different preferences or beliefs. </w:t>
      </w:r>
    </w:p>
    <w:p w14:paraId="497C6CD3"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Which practical steps they can take in a range of different contexts to improve or support respectful relationships.</w:t>
      </w:r>
    </w:p>
    <w:p w14:paraId="4567B278"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conventions of courtesy and manners.</w:t>
      </w:r>
    </w:p>
    <w:p w14:paraId="36367AF0" w14:textId="77777777" w:rsidR="00517529" w:rsidRPr="00517529" w:rsidRDefault="00517529" w:rsidP="00517529">
      <w:pPr>
        <w:pStyle w:val="TSB-PolicyBullets"/>
        <w:numPr>
          <w:ilvl w:val="0"/>
          <w:numId w:val="0"/>
        </w:numPr>
        <w:ind w:left="2127"/>
        <w:jc w:val="both"/>
        <w:rPr>
          <w:rFonts w:ascii="Arial" w:hAnsi="Arial" w:cs="Arial"/>
          <w:sz w:val="24"/>
          <w:szCs w:val="24"/>
        </w:rPr>
      </w:pPr>
    </w:p>
    <w:p w14:paraId="63171EC1"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importance of self-respect and how this links to their own happiness.</w:t>
      </w:r>
    </w:p>
    <w:p w14:paraId="0903BC97"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in school and wider society they can expect to be treated with respect by others, and that in turn they should show due respect to others, including those in positions of authority.</w:t>
      </w:r>
    </w:p>
    <w:p w14:paraId="6F66A499"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About the different types of bullying (including cyberbullying), the impact of bullying, responsibilities of bystanders to report bullying to an adult, and how to seek help.</w:t>
      </w:r>
    </w:p>
    <w:p w14:paraId="4FC5872E"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What a stereotype is, and how they can be unfair, negative or destructive.</w:t>
      </w:r>
    </w:p>
    <w:p w14:paraId="67DFC474"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importance of permission-seeking and giving in relationships with friends, peers and adults.</w:t>
      </w:r>
    </w:p>
    <w:p w14:paraId="0E8080B1" w14:textId="77777777" w:rsidR="00517529" w:rsidRPr="00517529" w:rsidRDefault="00517529" w:rsidP="00517529">
      <w:pPr>
        <w:pStyle w:val="TSB-PolicyBullets"/>
        <w:numPr>
          <w:ilvl w:val="0"/>
          <w:numId w:val="0"/>
        </w:numPr>
        <w:ind w:left="2127"/>
        <w:jc w:val="both"/>
        <w:rPr>
          <w:rFonts w:ascii="Arial" w:hAnsi="Arial" w:cs="Arial"/>
          <w:sz w:val="24"/>
          <w:szCs w:val="24"/>
        </w:rPr>
      </w:pPr>
    </w:p>
    <w:p w14:paraId="72D5C503" w14:textId="77777777" w:rsidR="00517529" w:rsidRPr="00517529" w:rsidRDefault="00517529" w:rsidP="00517529">
      <w:pPr>
        <w:pStyle w:val="TSB-PolicyBullets"/>
        <w:numPr>
          <w:ilvl w:val="0"/>
          <w:numId w:val="0"/>
        </w:numPr>
        <w:ind w:left="1780" w:hanging="357"/>
        <w:jc w:val="both"/>
        <w:rPr>
          <w:rFonts w:ascii="Arial" w:hAnsi="Arial" w:cs="Arial"/>
          <w:b/>
          <w:sz w:val="24"/>
          <w:szCs w:val="24"/>
        </w:rPr>
      </w:pPr>
      <w:r w:rsidRPr="00517529">
        <w:rPr>
          <w:rFonts w:ascii="Arial" w:hAnsi="Arial" w:cs="Arial"/>
          <w:b/>
          <w:sz w:val="24"/>
          <w:szCs w:val="24"/>
        </w:rPr>
        <w:t>Online relationships</w:t>
      </w:r>
    </w:p>
    <w:p w14:paraId="0DF40592"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658660B8"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people sometimes behave differently online, including pretending to be someone they are not.</w:t>
      </w:r>
    </w:p>
    <w:p w14:paraId="6F3952E6"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the same principles apply to online relationships as to face-to-face relationships, including the importance of respect for others online, even when we are anonymous.</w:t>
      </w:r>
    </w:p>
    <w:p w14:paraId="052E3C84"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rules and principles for keeping safe online.</w:t>
      </w:r>
    </w:p>
    <w:p w14:paraId="59D44A46"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recognise harmful content and contact online, and how to report these.</w:t>
      </w:r>
    </w:p>
    <w:p w14:paraId="403253B8"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critically consider their online friendships and sources of information.</w:t>
      </w:r>
    </w:p>
    <w:p w14:paraId="65C29016"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risks associated with people they have never met.</w:t>
      </w:r>
    </w:p>
    <w:p w14:paraId="741E7873"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information and data is shared and used online.</w:t>
      </w:r>
    </w:p>
    <w:p w14:paraId="4FFFD986" w14:textId="77777777" w:rsidR="00517529" w:rsidRPr="00517529" w:rsidRDefault="00517529" w:rsidP="00517529">
      <w:pPr>
        <w:pStyle w:val="TSB-PolicyBullets"/>
        <w:numPr>
          <w:ilvl w:val="0"/>
          <w:numId w:val="0"/>
        </w:numPr>
        <w:ind w:left="1491" w:hanging="357"/>
        <w:jc w:val="both"/>
        <w:rPr>
          <w:rFonts w:ascii="Arial" w:hAnsi="Arial" w:cs="Arial"/>
          <w:sz w:val="24"/>
          <w:szCs w:val="24"/>
        </w:rPr>
      </w:pPr>
    </w:p>
    <w:p w14:paraId="2548CC5D" w14:textId="77777777" w:rsidR="00517529" w:rsidRPr="00517529" w:rsidRDefault="00517529" w:rsidP="00517529">
      <w:pPr>
        <w:pStyle w:val="TSB-PolicyBullets"/>
        <w:numPr>
          <w:ilvl w:val="0"/>
          <w:numId w:val="0"/>
        </w:numPr>
        <w:ind w:left="1780" w:hanging="357"/>
        <w:jc w:val="both"/>
        <w:rPr>
          <w:rFonts w:ascii="Arial" w:hAnsi="Arial" w:cs="Arial"/>
          <w:b/>
          <w:sz w:val="24"/>
          <w:szCs w:val="24"/>
        </w:rPr>
      </w:pPr>
      <w:r w:rsidRPr="00517529">
        <w:rPr>
          <w:rFonts w:ascii="Arial" w:hAnsi="Arial" w:cs="Arial"/>
          <w:b/>
          <w:sz w:val="24"/>
          <w:szCs w:val="24"/>
        </w:rPr>
        <w:t>Being safe</w:t>
      </w:r>
    </w:p>
    <w:p w14:paraId="74D4C7BA"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21FF1066"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What sorts of boundaries are appropriate in friendships with peers and others – including in a digital context.</w:t>
      </w:r>
    </w:p>
    <w:p w14:paraId="5124ED33"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About the concept of privacy and the implications of it for both children and adults.</w:t>
      </w:r>
    </w:p>
    <w:p w14:paraId="10AC96B2"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it is not always right to keep secrets if they relate to being safe.</w:t>
      </w:r>
    </w:p>
    <w:p w14:paraId="481DE3FC"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each person’s body belongs to them, and the differences between appropriate and inappropriate or unsafe physical, and other, contact.</w:t>
      </w:r>
    </w:p>
    <w:p w14:paraId="3DC012AA"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respond safely and appropriately to adults they may encounter (in all contexts, including online) who they do not know.</w:t>
      </w:r>
    </w:p>
    <w:p w14:paraId="0C98CE9D"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recognise and report feelings of being unsafe or feeling bad about any adult.</w:t>
      </w:r>
    </w:p>
    <w:p w14:paraId="5D3B221E"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ask for advice or help for themselves and others, and to keep trying until they are heard.</w:t>
      </w:r>
    </w:p>
    <w:p w14:paraId="4098C4DF"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report concerns or abuse, and the vocabulary and confidence needed to do so.</w:t>
      </w:r>
    </w:p>
    <w:p w14:paraId="3FC56F09"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 xml:space="preserve">Where to seek advice, for example, from their family, their school and other sources. </w:t>
      </w:r>
    </w:p>
    <w:p w14:paraId="2F1F2C47" w14:textId="77777777" w:rsidR="00517529" w:rsidRPr="00517529" w:rsidRDefault="00517529" w:rsidP="00517529">
      <w:pPr>
        <w:pStyle w:val="Heading1"/>
        <w:numPr>
          <w:ilvl w:val="0"/>
          <w:numId w:val="8"/>
        </w:numPr>
        <w:ind w:left="1077" w:hanging="720"/>
        <w:rPr>
          <w:rFonts w:ascii="Arial" w:hAnsi="Arial" w:cs="Arial"/>
          <w:b/>
          <w:sz w:val="24"/>
          <w:szCs w:val="24"/>
          <w:u w:val="single"/>
        </w:rPr>
      </w:pPr>
      <w:r w:rsidRPr="00517529">
        <w:rPr>
          <w:rFonts w:ascii="Arial" w:hAnsi="Arial" w:cs="Arial"/>
          <w:b/>
          <w:sz w:val="24"/>
          <w:szCs w:val="24"/>
          <w:u w:val="single"/>
        </w:rPr>
        <w:t>Health education overview</w:t>
      </w:r>
    </w:p>
    <w:p w14:paraId="59F26F24"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lastRenderedPageBreak/>
        <w:t xml:space="preserve">The focus at primary level is teaching the characteristics of good physical health and mental wellbeing. </w:t>
      </w:r>
    </w:p>
    <w:p w14:paraId="449E9FA1"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Mental wellbeing</w:t>
      </w:r>
    </w:p>
    <w:p w14:paraId="145EBE61"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11BA4F61"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mental wellbeing is a normal part of daily life, in the same way as physical health.</w:t>
      </w:r>
    </w:p>
    <w:p w14:paraId="3384024C"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there is a normal range of emotions, e.g. happiness, sadness, anger, fear, surprise and nervousness.</w:t>
      </w:r>
    </w:p>
    <w:p w14:paraId="6A58F114"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scale of emotions that humans experience in response to different experiences and situations.</w:t>
      </w:r>
    </w:p>
    <w:p w14:paraId="71257370"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recognise and talk about their emotions, including having a varied vocabulary of words to use when talking about their own and others’ feelings.</w:t>
      </w:r>
    </w:p>
    <w:p w14:paraId="44CA9476"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judge whether what they are feeling and how they are behaving is appropriate and proportionate.</w:t>
      </w:r>
    </w:p>
    <w:p w14:paraId="2AAE479D"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benefits of physical exercise, time outdoors, community participation, and voluntary and service-based activity on mental wellbeing and happiness.</w:t>
      </w:r>
    </w:p>
    <w:p w14:paraId="7AFE1637"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Simple self-care techniques, including the importance of rest, time spent with friends and family, and the benefits of hobbies and interests.</w:t>
      </w:r>
    </w:p>
    <w:p w14:paraId="00A7476D"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isolation and loneliness can affect children and that it is very important they discuss their feelings with an adult and seek support.</w:t>
      </w:r>
    </w:p>
    <w:p w14:paraId="2C6BD56C"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bullying (including cyberbullying) has a negative and often lasting impact on mental wellbeing.</w:t>
      </w:r>
    </w:p>
    <w:p w14:paraId="3FE76C3F"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Where and how to seek support (including recognising the triggers for seeking support), extending to who in school they should speak to if they are worried about themselves or others.</w:t>
      </w:r>
    </w:p>
    <w:p w14:paraId="2C309454"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it is common to experience mental ill health and, for the many people who do, the problems can be resolved if the right support is made available, especially if accessed early enough.</w:t>
      </w:r>
    </w:p>
    <w:p w14:paraId="5EB717CE"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Internet safety and harms</w:t>
      </w:r>
    </w:p>
    <w:p w14:paraId="31192A01"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2D6D3EFB"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for most people, the internet is an integral part of life and has many benefits.</w:t>
      </w:r>
    </w:p>
    <w:p w14:paraId="5315FC1F"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About the benefits of rationing time spent online.</w:t>
      </w:r>
    </w:p>
    <w:p w14:paraId="0D762268"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risks of excessive time spent on electronic devices.</w:t>
      </w:r>
    </w:p>
    <w:p w14:paraId="0812ADE7"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lastRenderedPageBreak/>
        <w:t>The impact of positive and negative content online on their own and others’ mental and physical wellbeing.</w:t>
      </w:r>
    </w:p>
    <w:p w14:paraId="4FA61A49"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consider the effect of their online actions on others.</w:t>
      </w:r>
    </w:p>
    <w:p w14:paraId="324B322B"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recognise and display respectful behaviour online.</w:t>
      </w:r>
    </w:p>
    <w:p w14:paraId="09D078B0"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importance of keeping personal information private.</w:t>
      </w:r>
    </w:p>
    <w:p w14:paraId="1DB29BFB"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Why social media, some computer games and online gaming, for example, are age-restricted.</w:t>
      </w:r>
    </w:p>
    <w:p w14:paraId="6816ADD2"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That the internet can also be a negative place where online abuse, trolling, bullying and harassment can take place, which can have a negative impact on mental health.</w:t>
      </w:r>
    </w:p>
    <w:p w14:paraId="49172FA0"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be a discerning consumer of information online, including understanding that information (inclusive of that from search engines) is ranked, selected and targeted.</w:t>
      </w:r>
    </w:p>
    <w:p w14:paraId="198ADAE7"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Where and how to report concerns and get support with issues online.</w:t>
      </w:r>
    </w:p>
    <w:p w14:paraId="38EB45C8"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Physical health and fitness</w:t>
      </w:r>
    </w:p>
    <w:p w14:paraId="34E0CCF1"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2F2317BD"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characteristics and mental and physical benefits of an active lifestyle.</w:t>
      </w:r>
    </w:p>
    <w:p w14:paraId="70526D7F"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importance of building regular exercise into daily and weekly routines and how to achieve this, for example by walking or cycling to school, a daily active mile, or other forms of regular, vigorous exercise.</w:t>
      </w:r>
    </w:p>
    <w:p w14:paraId="253F980D"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risks associated with an inactive lifestyle, including obesity.</w:t>
      </w:r>
    </w:p>
    <w:p w14:paraId="13B8E864"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and when to seek support, including which adults to speak to in school if they are worried about their health.</w:t>
      </w:r>
    </w:p>
    <w:p w14:paraId="37B80A9D"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Healthy eating</w:t>
      </w:r>
    </w:p>
    <w:p w14:paraId="2A7BEB0C"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6EF5062C" w14:textId="77777777" w:rsidR="00517529" w:rsidRPr="00517529" w:rsidRDefault="00517529" w:rsidP="00517529">
      <w:pPr>
        <w:pStyle w:val="TSB-PolicyBullets"/>
        <w:ind w:left="2268"/>
        <w:jc w:val="both"/>
        <w:rPr>
          <w:rFonts w:ascii="Arial" w:hAnsi="Arial" w:cs="Arial"/>
          <w:sz w:val="24"/>
          <w:szCs w:val="24"/>
        </w:rPr>
      </w:pPr>
      <w:r w:rsidRPr="00517529">
        <w:rPr>
          <w:rFonts w:ascii="Arial" w:hAnsi="Arial" w:cs="Arial"/>
          <w:sz w:val="24"/>
          <w:szCs w:val="24"/>
        </w:rPr>
        <w:t xml:space="preserve">What constitutes a healthy diet, including an understanding of calories and other nutritional </w:t>
      </w:r>
      <w:proofErr w:type="gramStart"/>
      <w:r w:rsidRPr="00517529">
        <w:rPr>
          <w:rFonts w:ascii="Arial" w:hAnsi="Arial" w:cs="Arial"/>
          <w:sz w:val="24"/>
          <w:szCs w:val="24"/>
        </w:rPr>
        <w:t>content.</w:t>
      </w:r>
      <w:proofErr w:type="gramEnd"/>
    </w:p>
    <w:p w14:paraId="48FAA585" w14:textId="77777777" w:rsidR="00517529" w:rsidRPr="00517529" w:rsidRDefault="00517529" w:rsidP="00517529">
      <w:pPr>
        <w:pStyle w:val="TSB-PolicyBullets"/>
        <w:ind w:left="2268"/>
        <w:jc w:val="both"/>
        <w:rPr>
          <w:rFonts w:ascii="Arial" w:hAnsi="Arial" w:cs="Arial"/>
          <w:sz w:val="24"/>
          <w:szCs w:val="24"/>
        </w:rPr>
      </w:pPr>
      <w:r w:rsidRPr="00517529">
        <w:rPr>
          <w:rFonts w:ascii="Arial" w:hAnsi="Arial" w:cs="Arial"/>
          <w:sz w:val="24"/>
          <w:szCs w:val="24"/>
        </w:rPr>
        <w:t>The principles of planning and preparing a range of healthy meals.</w:t>
      </w:r>
    </w:p>
    <w:p w14:paraId="52ACA992" w14:textId="77777777" w:rsidR="00517529" w:rsidRPr="00517529" w:rsidRDefault="00517529" w:rsidP="00517529">
      <w:pPr>
        <w:pStyle w:val="TSB-PolicyBullets"/>
        <w:ind w:left="2268"/>
        <w:jc w:val="both"/>
        <w:rPr>
          <w:rFonts w:ascii="Arial" w:hAnsi="Arial" w:cs="Arial"/>
          <w:sz w:val="24"/>
          <w:szCs w:val="24"/>
        </w:rPr>
      </w:pPr>
      <w:r w:rsidRPr="00517529">
        <w:rPr>
          <w:rFonts w:ascii="Arial" w:hAnsi="Arial" w:cs="Arial"/>
          <w:sz w:val="24"/>
          <w:szCs w:val="24"/>
        </w:rPr>
        <w:t>The characteristics of a poor diet and risks associated with unhealthy eating, including obesity, and other behaviours, e.g. the impact of alcohol on diet or health.</w:t>
      </w:r>
    </w:p>
    <w:p w14:paraId="44F2201A"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Drugs alcohol and tobacco</w:t>
      </w:r>
    </w:p>
    <w:p w14:paraId="17C66C06"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322AEF35"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lastRenderedPageBreak/>
        <w:t>The facts about legal and illegal harmful substances and associated risks, including smoking, alcohol use and drug-taking.</w:t>
      </w:r>
    </w:p>
    <w:p w14:paraId="3427939B"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Health and prevention</w:t>
      </w:r>
    </w:p>
    <w:p w14:paraId="6D56627E"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260D7D07"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recognise early signs of physical illness, such as weight loss or unexplained changes to the body.</w:t>
      </w:r>
    </w:p>
    <w:p w14:paraId="6E8235C1"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About safe and unsafe exposure to the sun, and how to reduce the risk of sun damage, including skin cancer.</w:t>
      </w:r>
    </w:p>
    <w:p w14:paraId="14552081"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importance of sufficient good-quality sleep for good health, and that a lack of sleep can affect weight, mood and ability to learn.</w:t>
      </w:r>
    </w:p>
    <w:p w14:paraId="20CCC437"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About dental health and the benefits of good oral hygiene and dental flossing, including regular check-ups at the dentist.</w:t>
      </w:r>
    </w:p>
    <w:p w14:paraId="6A90332A"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About personal hygiene and germs including bacteria and viruses, how they are spread and treated, and the importance of hand washing.</w:t>
      </w:r>
    </w:p>
    <w:p w14:paraId="3907D383"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The facts and science relating to immunisation and vaccination.</w:t>
      </w:r>
    </w:p>
    <w:p w14:paraId="7C4A08BA"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Basic first aid</w:t>
      </w:r>
    </w:p>
    <w:p w14:paraId="3F3DB3FE"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3D2EEAD2"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How to make a clear and efficient call to emergency services if necessary.</w:t>
      </w:r>
    </w:p>
    <w:p w14:paraId="4BF34212"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Concepts of basic first-aid, for example dealing with common injuries, including head injuries.</w:t>
      </w:r>
    </w:p>
    <w:p w14:paraId="4E3A86D4" w14:textId="77777777" w:rsidR="00517529" w:rsidRPr="00517529" w:rsidRDefault="00517529" w:rsidP="00517529">
      <w:pPr>
        <w:pStyle w:val="TSB-Level1Numbers"/>
        <w:numPr>
          <w:ilvl w:val="0"/>
          <w:numId w:val="0"/>
        </w:numPr>
        <w:ind w:left="1423"/>
        <w:jc w:val="both"/>
        <w:rPr>
          <w:rFonts w:ascii="Arial" w:hAnsi="Arial" w:cs="Arial"/>
          <w:b/>
          <w:sz w:val="24"/>
          <w:szCs w:val="24"/>
        </w:rPr>
      </w:pPr>
      <w:r w:rsidRPr="00517529">
        <w:rPr>
          <w:rFonts w:ascii="Arial" w:hAnsi="Arial" w:cs="Arial"/>
          <w:b/>
          <w:sz w:val="24"/>
          <w:szCs w:val="24"/>
        </w:rPr>
        <w:t>Changing adolescent body</w:t>
      </w:r>
    </w:p>
    <w:p w14:paraId="36534823" w14:textId="77777777" w:rsidR="00517529" w:rsidRPr="00517529" w:rsidRDefault="00517529" w:rsidP="00517529">
      <w:pPr>
        <w:pStyle w:val="TSB-Level1Numbers"/>
        <w:numPr>
          <w:ilvl w:val="1"/>
          <w:numId w:val="8"/>
        </w:numPr>
        <w:ind w:left="1423"/>
        <w:jc w:val="both"/>
        <w:rPr>
          <w:rFonts w:ascii="Arial" w:hAnsi="Arial" w:cs="Arial"/>
          <w:sz w:val="24"/>
          <w:szCs w:val="24"/>
        </w:rPr>
      </w:pPr>
      <w:r w:rsidRPr="00517529">
        <w:rPr>
          <w:rFonts w:ascii="Arial" w:hAnsi="Arial" w:cs="Arial"/>
          <w:sz w:val="24"/>
          <w:szCs w:val="24"/>
        </w:rPr>
        <w:t>By the end of primary school, pupils will know:</w:t>
      </w:r>
    </w:p>
    <w:p w14:paraId="34032761" w14:textId="77777777" w:rsidR="00517529" w:rsidRPr="00517529" w:rsidRDefault="00517529" w:rsidP="00517529">
      <w:pPr>
        <w:pStyle w:val="TSB-PolicyBullets"/>
        <w:ind w:left="2127"/>
        <w:jc w:val="both"/>
        <w:rPr>
          <w:rFonts w:ascii="Arial" w:hAnsi="Arial" w:cs="Arial"/>
          <w:sz w:val="24"/>
          <w:szCs w:val="24"/>
        </w:rPr>
      </w:pPr>
      <w:r w:rsidRPr="00517529">
        <w:rPr>
          <w:rFonts w:ascii="Arial" w:hAnsi="Arial" w:cs="Arial"/>
          <w:sz w:val="24"/>
          <w:szCs w:val="24"/>
        </w:rPr>
        <w:t>Key facts about puberty and the changing adolescent body, particularly from age 9 through to age 11, including physical and emotional changes.</w:t>
      </w:r>
    </w:p>
    <w:p w14:paraId="7A5E2543" w14:textId="77777777" w:rsidR="00AF7B10" w:rsidRDefault="00517529" w:rsidP="00AF7B10">
      <w:pPr>
        <w:pStyle w:val="TSB-PolicyBullets"/>
        <w:ind w:left="2127"/>
        <w:jc w:val="both"/>
        <w:rPr>
          <w:rFonts w:ascii="Arial" w:hAnsi="Arial" w:cs="Arial"/>
          <w:sz w:val="24"/>
          <w:szCs w:val="24"/>
        </w:rPr>
      </w:pPr>
      <w:r w:rsidRPr="00517529">
        <w:rPr>
          <w:rFonts w:ascii="Arial" w:hAnsi="Arial" w:cs="Arial"/>
          <w:sz w:val="24"/>
          <w:szCs w:val="24"/>
        </w:rPr>
        <w:t>About menstrual wellbeing and key facts r</w:t>
      </w:r>
      <w:r w:rsidR="00AF7B10">
        <w:rPr>
          <w:rFonts w:ascii="Arial" w:hAnsi="Arial" w:cs="Arial"/>
          <w:sz w:val="24"/>
          <w:szCs w:val="24"/>
        </w:rPr>
        <w:t>elating to the menstrual cycle.</w:t>
      </w:r>
    </w:p>
    <w:p w14:paraId="1D03C2D5" w14:textId="08C87926" w:rsidR="00517529" w:rsidRPr="00AF7B10" w:rsidRDefault="00517529" w:rsidP="00AF7B10">
      <w:pPr>
        <w:pStyle w:val="TSB-PolicyBullets"/>
        <w:numPr>
          <w:ilvl w:val="0"/>
          <w:numId w:val="0"/>
        </w:numPr>
        <w:ind w:left="1491" w:hanging="357"/>
        <w:jc w:val="both"/>
        <w:rPr>
          <w:rFonts w:ascii="Arial" w:hAnsi="Arial" w:cs="Arial"/>
          <w:sz w:val="24"/>
          <w:szCs w:val="24"/>
        </w:rPr>
      </w:pPr>
      <w:r w:rsidRPr="00AF7B10">
        <w:rPr>
          <w:rFonts w:ascii="Arial" w:hAnsi="Arial" w:cs="Arial"/>
          <w:b/>
          <w:sz w:val="24"/>
          <w:szCs w:val="24"/>
          <w:u w:val="single"/>
        </w:rPr>
        <w:t>Sex education overview</w:t>
      </w:r>
    </w:p>
    <w:p w14:paraId="669414C3" w14:textId="30E4028E" w:rsidR="00517529" w:rsidRPr="00AF7B10" w:rsidRDefault="00517529" w:rsidP="00AF7B10">
      <w:pPr>
        <w:spacing w:before="100" w:beforeAutospacing="1" w:after="100" w:afterAutospacing="1"/>
        <w:rPr>
          <w:rFonts w:ascii="Arial" w:hAnsi="Arial" w:cs="Arial"/>
        </w:rPr>
      </w:pPr>
      <w:r w:rsidRPr="00AF7B10">
        <w:rPr>
          <w:rFonts w:ascii="Arial" w:hAnsi="Arial" w:cs="Arial"/>
          <w:b/>
        </w:rPr>
        <w:t>All</w:t>
      </w:r>
      <w:r w:rsidRPr="00AF7B10">
        <w:rPr>
          <w:rFonts w:ascii="Arial" w:hAnsi="Arial" w:cs="Arial"/>
        </w:rPr>
        <w:t xml:space="preserve">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r w:rsidR="00AF7B10" w:rsidRPr="00AF7B10">
        <w:rPr>
          <w:rFonts w:ascii="Arial" w:hAnsi="Arial" w:cs="Arial"/>
        </w:rPr>
        <w:t xml:space="preserve"> </w:t>
      </w:r>
    </w:p>
    <w:p w14:paraId="0A0BB15C" w14:textId="7883D72A" w:rsidR="00AF7B10" w:rsidRPr="00075555" w:rsidRDefault="00AF7B10" w:rsidP="00AF7B10">
      <w:pPr>
        <w:spacing w:before="100" w:beforeAutospacing="1" w:after="100" w:afterAutospacing="1"/>
        <w:rPr>
          <w:rFonts w:ascii="Arial" w:hAnsi="Arial" w:cs="Arial"/>
          <w:lang w:val="en-GB"/>
        </w:rPr>
      </w:pPr>
      <w:r>
        <w:rPr>
          <w:rFonts w:ascii="Arial" w:hAnsi="Arial" w:cs="Arial"/>
        </w:rPr>
        <w:lastRenderedPageBreak/>
        <w:t xml:space="preserve">At </w:t>
      </w:r>
      <w:proofErr w:type="spellStart"/>
      <w:r w:rsidRPr="00AF7B10">
        <w:rPr>
          <w:rFonts w:ascii="Arial" w:hAnsi="Arial" w:cs="Arial"/>
        </w:rPr>
        <w:t>Chaddesley</w:t>
      </w:r>
      <w:proofErr w:type="spellEnd"/>
      <w:r w:rsidRPr="00AF7B10">
        <w:rPr>
          <w:rFonts w:ascii="Arial" w:hAnsi="Arial" w:cs="Arial"/>
        </w:rPr>
        <w:t xml:space="preserve"> Corbett Primary School</w:t>
      </w:r>
      <w:r>
        <w:rPr>
          <w:rFonts w:ascii="Arial" w:hAnsi="Arial" w:cs="Arial"/>
        </w:rPr>
        <w:t xml:space="preserve">, in year 6 we teach human reproduction. </w:t>
      </w:r>
      <w:r w:rsidR="00517529" w:rsidRPr="00517529">
        <w:rPr>
          <w:rFonts w:ascii="Arial" w:hAnsi="Arial" w:cs="Arial"/>
        </w:rPr>
        <w:t>Parents are fully consulted in the delivery of our sex education curriculum, in accordance with this policy.</w:t>
      </w:r>
      <w:r w:rsidRPr="00AF7B10">
        <w:rPr>
          <w:rFonts w:ascii="Arial" w:hAnsi="Arial" w:cs="Arial"/>
          <w:lang w:val="en-GB"/>
        </w:rPr>
        <w:t xml:space="preserve"> </w:t>
      </w:r>
      <w:r w:rsidRPr="00075555">
        <w:rPr>
          <w:rFonts w:ascii="Arial" w:hAnsi="Arial" w:cs="Arial"/>
          <w:lang w:val="en-GB"/>
        </w:rPr>
        <w:t xml:space="preserve">The school will inform parents/carers when </w:t>
      </w:r>
      <w:r>
        <w:rPr>
          <w:rFonts w:ascii="Arial" w:hAnsi="Arial" w:cs="Arial"/>
          <w:lang w:val="en-GB"/>
        </w:rPr>
        <w:t>this aspect of the RSE</w:t>
      </w:r>
      <w:r w:rsidRPr="00075555">
        <w:rPr>
          <w:rFonts w:ascii="Arial" w:hAnsi="Arial" w:cs="Arial"/>
          <w:lang w:val="en-GB"/>
        </w:rPr>
        <w:t xml:space="preserve"> programme are taught and will provide opportunities for parents/carers to view the videos and resources being used. </w:t>
      </w:r>
    </w:p>
    <w:p w14:paraId="7D9FD6EF" w14:textId="1A178008" w:rsidR="00AF7B10" w:rsidRPr="00075555" w:rsidRDefault="00AF7B10" w:rsidP="00AF7B10">
      <w:pPr>
        <w:spacing w:before="100" w:beforeAutospacing="1" w:after="100" w:afterAutospacing="1"/>
        <w:rPr>
          <w:rFonts w:ascii="Arial" w:hAnsi="Arial" w:cs="Arial"/>
          <w:lang w:val="en-GB"/>
        </w:rPr>
      </w:pPr>
      <w:r w:rsidRPr="00075555">
        <w:rPr>
          <w:rFonts w:ascii="Arial" w:hAnsi="Arial" w:cs="Arial"/>
          <w:lang w:val="en-GB"/>
        </w:rPr>
        <w:t xml:space="preserve">Parents </w:t>
      </w:r>
      <w:r>
        <w:rPr>
          <w:rFonts w:ascii="Arial" w:hAnsi="Arial" w:cs="Arial"/>
          <w:lang w:val="en-GB"/>
        </w:rPr>
        <w:t xml:space="preserve">may </w:t>
      </w:r>
      <w:r w:rsidRPr="00075555">
        <w:rPr>
          <w:rFonts w:ascii="Arial" w:hAnsi="Arial" w:cs="Arial"/>
          <w:lang w:val="en-GB"/>
        </w:rPr>
        <w:t xml:space="preserve">withdraw their child from </w:t>
      </w:r>
      <w:r>
        <w:rPr>
          <w:rFonts w:ascii="Arial" w:hAnsi="Arial" w:cs="Arial"/>
          <w:lang w:val="en-GB"/>
        </w:rPr>
        <w:t>this elements of RSE.</w:t>
      </w:r>
      <w:r w:rsidRPr="00075555">
        <w:rPr>
          <w:rFonts w:ascii="Arial" w:hAnsi="Arial" w:cs="Arial"/>
          <w:lang w:val="en-GB"/>
        </w:rPr>
        <w:t xml:space="preserve"> Any parent wishing to withdraw their child is encouraged to make an appointment with the Head Teacher to discuss the matter. Pupils cannot b</w:t>
      </w:r>
      <w:r>
        <w:rPr>
          <w:rFonts w:ascii="Arial" w:hAnsi="Arial" w:cs="Arial"/>
          <w:lang w:val="en-GB"/>
        </w:rPr>
        <w:t>e withdrawn from any part of RSE</w:t>
      </w:r>
      <w:r w:rsidRPr="00075555">
        <w:rPr>
          <w:rFonts w:ascii="Arial" w:hAnsi="Arial" w:cs="Arial"/>
          <w:lang w:val="en-GB"/>
        </w:rPr>
        <w:t xml:space="preserve"> which falls within the statutory National Curriculum Science orders. </w:t>
      </w:r>
    </w:p>
    <w:p w14:paraId="2F24DD13" w14:textId="3A7EDD96" w:rsidR="00517529" w:rsidRPr="00517529" w:rsidRDefault="00517529" w:rsidP="00AF7B10">
      <w:pPr>
        <w:pStyle w:val="TSB-Level1Numbers"/>
        <w:numPr>
          <w:ilvl w:val="0"/>
          <w:numId w:val="0"/>
        </w:numPr>
        <w:ind w:left="1423" w:hanging="431"/>
        <w:jc w:val="both"/>
        <w:rPr>
          <w:rFonts w:ascii="Arial" w:hAnsi="Arial" w:cs="Arial"/>
          <w:sz w:val="24"/>
          <w:szCs w:val="24"/>
        </w:rPr>
      </w:pPr>
      <w:r w:rsidRPr="00517529">
        <w:rPr>
          <w:rFonts w:ascii="Arial" w:hAnsi="Arial" w:cs="Arial"/>
          <w:sz w:val="24"/>
          <w:szCs w:val="24"/>
        </w:rPr>
        <w:t xml:space="preserve"> </w:t>
      </w:r>
    </w:p>
    <w:p w14:paraId="603B9286" w14:textId="77777777" w:rsidR="00517529" w:rsidRPr="00517529" w:rsidRDefault="00517529" w:rsidP="00AF7B10">
      <w:pPr>
        <w:pStyle w:val="TSB-Level1Numbers"/>
        <w:numPr>
          <w:ilvl w:val="0"/>
          <w:numId w:val="0"/>
        </w:numPr>
        <w:ind w:left="431" w:hanging="431"/>
        <w:jc w:val="both"/>
        <w:rPr>
          <w:rFonts w:ascii="Arial" w:hAnsi="Arial" w:cs="Arial"/>
          <w:sz w:val="24"/>
          <w:szCs w:val="24"/>
        </w:rPr>
      </w:pPr>
      <w:r w:rsidRPr="00517529">
        <w:rPr>
          <w:rFonts w:ascii="Arial" w:hAnsi="Arial" w:cs="Arial"/>
          <w:sz w:val="24"/>
          <w:szCs w:val="24"/>
        </w:rPr>
        <w:t>The age and development of pupils is always considered when delivering sex education.</w:t>
      </w:r>
    </w:p>
    <w:p w14:paraId="65BA88D2" w14:textId="43E98BFE" w:rsidR="00513D34" w:rsidRPr="00075555" w:rsidRDefault="00513D34" w:rsidP="009246AB">
      <w:pPr>
        <w:spacing w:before="100" w:beforeAutospacing="1" w:after="100" w:afterAutospacing="1"/>
        <w:rPr>
          <w:rFonts w:ascii="Arial" w:hAnsi="Arial" w:cs="Arial"/>
          <w:lang w:val="en-GB"/>
        </w:rPr>
      </w:pPr>
      <w:r w:rsidRPr="00075555">
        <w:rPr>
          <w:rFonts w:ascii="Arial" w:hAnsi="Arial" w:cs="Arial"/>
          <w:b/>
          <w:bCs/>
          <w:lang w:val="en-GB"/>
        </w:rPr>
        <w:t xml:space="preserve">The Organisation of </w:t>
      </w:r>
      <w:r w:rsidR="00975988">
        <w:rPr>
          <w:rFonts w:ascii="Arial" w:hAnsi="Arial" w:cs="Arial"/>
          <w:b/>
          <w:bCs/>
          <w:lang w:val="en-GB"/>
        </w:rPr>
        <w:t>RSE</w:t>
      </w:r>
    </w:p>
    <w:p w14:paraId="401FBB67" w14:textId="776F28A6"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A range of teaching methods which involve pupils’ full participation are used to teach </w:t>
      </w:r>
      <w:r w:rsidR="009246AB">
        <w:rPr>
          <w:rFonts w:ascii="Arial" w:hAnsi="Arial" w:cs="Arial"/>
          <w:lang w:val="en-GB"/>
        </w:rPr>
        <w:t>RSE</w:t>
      </w:r>
      <w:r w:rsidRPr="00075555">
        <w:rPr>
          <w:rFonts w:ascii="Arial" w:hAnsi="Arial" w:cs="Arial"/>
          <w:lang w:val="en-GB"/>
        </w:rPr>
        <w:t>. These include use of small group work, the media, discussion, case studies, drama and role</w:t>
      </w:r>
      <w:r w:rsidRPr="00075555">
        <w:rPr>
          <w:rFonts w:ascii="Noteworthy Bold" w:hAnsi="Noteworthy Bold" w:cs="Noteworthy Bold"/>
          <w:lang w:val="en-GB"/>
        </w:rPr>
        <w:t>‐</w:t>
      </w:r>
      <w:r w:rsidRPr="00075555">
        <w:rPr>
          <w:rFonts w:ascii="Arial" w:hAnsi="Arial" w:cs="Arial"/>
          <w:lang w:val="en-GB"/>
        </w:rPr>
        <w:t xml:space="preserve">play. Ground rules and distancing techniques are used to establish a safe environment to facilitate discussion and students are encouraged to reflect on their learning. </w:t>
      </w:r>
      <w:r w:rsidR="00975988">
        <w:rPr>
          <w:rFonts w:ascii="Arial" w:hAnsi="Arial" w:cs="Arial"/>
          <w:lang w:val="en-GB"/>
        </w:rPr>
        <w:t xml:space="preserve">RSE </w:t>
      </w:r>
      <w:r w:rsidRPr="00075555">
        <w:rPr>
          <w:rFonts w:ascii="Arial" w:hAnsi="Arial" w:cs="Arial"/>
          <w:lang w:val="en-GB"/>
        </w:rPr>
        <w:t xml:space="preserve">is usually delivered in mixed gender groups. However, there may be occasions when single gender groups are more appropriate and relevant. </w:t>
      </w:r>
    </w:p>
    <w:p w14:paraId="1C653377"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b/>
          <w:bCs/>
          <w:lang w:val="en-GB"/>
        </w:rPr>
        <w:t xml:space="preserve">Terminology </w:t>
      </w:r>
    </w:p>
    <w:p w14:paraId="717415EC" w14:textId="77777777" w:rsidR="00513D34" w:rsidRPr="00075555" w:rsidRDefault="00513D34" w:rsidP="00513D34">
      <w:pPr>
        <w:spacing w:before="100" w:beforeAutospacing="1" w:after="100" w:afterAutospacing="1"/>
        <w:rPr>
          <w:rFonts w:ascii="Arial" w:hAnsi="Arial" w:cs="Arial"/>
          <w:lang w:val="en-GB"/>
        </w:rPr>
      </w:pPr>
      <w:proofErr w:type="spellStart"/>
      <w:r w:rsidRPr="00075555">
        <w:rPr>
          <w:rFonts w:ascii="Arial" w:hAnsi="Arial" w:cs="Arial"/>
          <w:lang w:val="en-GB"/>
        </w:rPr>
        <w:t>OfSTED</w:t>
      </w:r>
      <w:proofErr w:type="spellEnd"/>
      <w:r w:rsidRPr="00075555">
        <w:rPr>
          <w:rFonts w:ascii="Arial" w:hAnsi="Arial" w:cs="Arial"/>
          <w:lang w:val="en-GB"/>
        </w:rPr>
        <w:t xml:space="preserve"> guidance recommends that it is important for children to learn the language associated with body parts so that children are able to talk to health professionals. Therefore, teachers will use the anatomically correct language for body parts, while acknowledging common terms used by some people. </w:t>
      </w:r>
    </w:p>
    <w:p w14:paraId="0D79F9B2"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b/>
          <w:bCs/>
          <w:lang w:val="en-GB"/>
        </w:rPr>
        <w:t xml:space="preserve">Dealing with Difficult Questions </w:t>
      </w:r>
    </w:p>
    <w:p w14:paraId="1B6CD7FD"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Ground rules are essential to provide an agreed structure to answering sensitive or difficult questions. This framework facilitates the use of an anonymous question box as a distancing technique. </w:t>
      </w:r>
    </w:p>
    <w:p w14:paraId="39A6D2D6"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Teachers will endeavour to answer questions as honestly as possible, but if faced with a question they do not feel comfortable answering within the classroom, provision would be made to meet the individual child’s needs. This may involve referring the child back to their parent/carer or school nurse or seeking advice from a member of the SLT. </w:t>
      </w:r>
    </w:p>
    <w:p w14:paraId="4FF331FC"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b/>
          <w:bCs/>
          <w:lang w:val="en-GB"/>
        </w:rPr>
        <w:t xml:space="preserve">Children with Special Needs </w:t>
      </w:r>
    </w:p>
    <w:p w14:paraId="3FD16D02" w14:textId="45671B2E"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Teaching and resources will be differentiated as appropriate to address the needs of these children in order for them to have full access to the content of </w:t>
      </w:r>
      <w:r w:rsidR="009246AB">
        <w:rPr>
          <w:rFonts w:ascii="Arial" w:hAnsi="Arial" w:cs="Arial"/>
          <w:lang w:val="en-GB"/>
        </w:rPr>
        <w:t>RSE</w:t>
      </w:r>
      <w:r w:rsidRPr="00075555">
        <w:rPr>
          <w:rFonts w:ascii="Arial" w:hAnsi="Arial" w:cs="Arial"/>
          <w:lang w:val="en-GB"/>
        </w:rPr>
        <w:t xml:space="preserve">. </w:t>
      </w:r>
    </w:p>
    <w:p w14:paraId="14A42C55"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b/>
          <w:bCs/>
          <w:lang w:val="en-GB"/>
        </w:rPr>
        <w:lastRenderedPageBreak/>
        <w:t xml:space="preserve">Equal Opportunities </w:t>
      </w:r>
    </w:p>
    <w:p w14:paraId="79456B14" w14:textId="23C3C96C"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All pupils are entitled to receive </w:t>
      </w:r>
      <w:r w:rsidR="009246AB">
        <w:rPr>
          <w:rFonts w:ascii="Arial" w:hAnsi="Arial" w:cs="Arial"/>
          <w:lang w:val="en-GB"/>
        </w:rPr>
        <w:t>RSE</w:t>
      </w:r>
      <w:r w:rsidRPr="00075555">
        <w:rPr>
          <w:rFonts w:ascii="Arial" w:hAnsi="Arial" w:cs="Arial"/>
          <w:lang w:val="en-GB"/>
        </w:rPr>
        <w:t xml:space="preserve"> regardless of ability, gender, race, religious belief or grouping. Through </w:t>
      </w:r>
      <w:r w:rsidR="009246AB">
        <w:rPr>
          <w:rFonts w:ascii="Arial" w:hAnsi="Arial" w:cs="Arial"/>
          <w:lang w:val="en-GB"/>
        </w:rPr>
        <w:t>RSE</w:t>
      </w:r>
      <w:r w:rsidRPr="00075555">
        <w:rPr>
          <w:rFonts w:ascii="Arial" w:hAnsi="Arial" w:cs="Arial"/>
          <w:lang w:val="en-GB"/>
        </w:rPr>
        <w:t xml:space="preserve"> we seek to develop a positive view of female and male sexuality. It is our intention that all children have the opportunity to experience a programme of </w:t>
      </w:r>
      <w:r w:rsidR="00975988">
        <w:rPr>
          <w:rFonts w:ascii="Arial" w:hAnsi="Arial" w:cs="Arial"/>
          <w:lang w:val="en-GB"/>
        </w:rPr>
        <w:t xml:space="preserve">RSE </w:t>
      </w:r>
      <w:r w:rsidRPr="00075555">
        <w:rPr>
          <w:rFonts w:ascii="Arial" w:hAnsi="Arial" w:cs="Arial"/>
          <w:lang w:val="en-GB"/>
        </w:rPr>
        <w:t xml:space="preserve">at a level which is appropriate for their age and physical development, with differentiated provision if required. </w:t>
      </w:r>
    </w:p>
    <w:p w14:paraId="7729D2ED"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b/>
          <w:bCs/>
          <w:lang w:val="en-GB"/>
        </w:rPr>
        <w:t xml:space="preserve">Safeguarding/Confidentiality </w:t>
      </w:r>
    </w:p>
    <w:p w14:paraId="1A8DC742" w14:textId="568674D2"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Teachers need to be aware that effective </w:t>
      </w:r>
      <w:r w:rsidR="009246AB">
        <w:rPr>
          <w:rFonts w:ascii="Arial" w:hAnsi="Arial" w:cs="Arial"/>
          <w:lang w:val="en-GB"/>
        </w:rPr>
        <w:t>RSE</w:t>
      </w:r>
      <w:r w:rsidRPr="00075555">
        <w:rPr>
          <w:rFonts w:ascii="Arial" w:hAnsi="Arial" w:cs="Arial"/>
          <w:lang w:val="en-GB"/>
        </w:rPr>
        <w:t xml:space="preserve">, which brings an understanding of what is and is not acceptable in a relationship, may lead to disclosure of a child protection issue. Under common law, young people are entitled to the same duty of confidence as adults. Personal information about them should not be shared without their permission except for the purposes of child protection. There may be rare occasions when a child under the age of thirteen who is sexually active directly approaches a teacher. This should be viewed as a child protection issue and procedures should be followed as outlined in Worcestershire’s </w:t>
      </w:r>
      <w:r w:rsidRPr="00075555">
        <w:rPr>
          <w:rFonts w:ascii="Arial" w:hAnsi="Arial" w:cs="Arial"/>
          <w:i/>
          <w:iCs/>
          <w:lang w:val="en-GB"/>
        </w:rPr>
        <w:t xml:space="preserve">Safeguarding Sexually Active Young People </w:t>
      </w:r>
      <w:r w:rsidRPr="00075555">
        <w:rPr>
          <w:rFonts w:ascii="Arial" w:hAnsi="Arial" w:cs="Arial"/>
          <w:lang w:val="en-GB"/>
        </w:rPr>
        <w:t xml:space="preserve">guidance </w:t>
      </w:r>
      <w:r w:rsidRPr="00075555">
        <w:rPr>
          <w:rFonts w:ascii="Arial" w:hAnsi="Arial" w:cs="Arial"/>
          <w:color w:val="0000FF"/>
          <w:lang w:val="en-GB"/>
        </w:rPr>
        <w:t xml:space="preserve">www.worcestershiresafeguarding.org.uk </w:t>
      </w:r>
    </w:p>
    <w:p w14:paraId="4C21FDE0" w14:textId="77777777" w:rsidR="00513D34" w:rsidRPr="00075555" w:rsidRDefault="00513D34" w:rsidP="00513D34">
      <w:pPr>
        <w:spacing w:before="100" w:beforeAutospacing="1" w:after="100" w:afterAutospacing="1"/>
        <w:rPr>
          <w:rFonts w:ascii="Arial" w:hAnsi="Arial" w:cs="Arial"/>
          <w:lang w:val="en-GB"/>
        </w:rPr>
      </w:pPr>
      <w:r w:rsidRPr="00075555">
        <w:rPr>
          <w:rFonts w:ascii="Arial" w:hAnsi="Arial" w:cs="Arial"/>
          <w:lang w:val="en-GB"/>
        </w:rPr>
        <w:t xml:space="preserve">The staff member will inform the </w:t>
      </w:r>
      <w:proofErr w:type="spellStart"/>
      <w:r w:rsidRPr="00075555">
        <w:rPr>
          <w:rFonts w:ascii="Arial" w:hAnsi="Arial" w:cs="Arial"/>
          <w:lang w:val="en-GB"/>
        </w:rPr>
        <w:t>headteacher</w:t>
      </w:r>
      <w:proofErr w:type="spellEnd"/>
      <w:r w:rsidRPr="00075555">
        <w:rPr>
          <w:rFonts w:ascii="Arial" w:hAnsi="Arial" w:cs="Arial"/>
          <w:lang w:val="en-GB"/>
        </w:rPr>
        <w:t xml:space="preserve">/designated child protection staff member in line with the LA procedures for child protection. A member of staff cannot promise confidentiality if concerns exist. </w:t>
      </w:r>
    </w:p>
    <w:p w14:paraId="4F155E7B" w14:textId="77777777" w:rsidR="00075555" w:rsidRDefault="00075555" w:rsidP="00513D34">
      <w:pPr>
        <w:spacing w:before="100" w:beforeAutospacing="1" w:after="100" w:afterAutospacing="1"/>
        <w:rPr>
          <w:rFonts w:ascii="Arial" w:hAnsi="Arial" w:cs="Arial"/>
          <w:b/>
          <w:bCs/>
          <w:lang w:val="en-GB"/>
        </w:rPr>
      </w:pPr>
      <w:r>
        <w:rPr>
          <w:rFonts w:ascii="Arial" w:hAnsi="Arial" w:cs="Arial"/>
          <w:b/>
          <w:bCs/>
          <w:lang w:val="en-GB"/>
        </w:rPr>
        <w:t>This policy is to be read in conjunction with:</w:t>
      </w:r>
    </w:p>
    <w:p w14:paraId="4C8EC475" w14:textId="3931A702" w:rsidR="00A81B11" w:rsidRPr="00075555" w:rsidRDefault="0027630A" w:rsidP="0027630A">
      <w:pPr>
        <w:spacing w:before="100" w:beforeAutospacing="1" w:after="100" w:afterAutospacing="1"/>
        <w:rPr>
          <w:rFonts w:ascii="Arial" w:hAnsi="Arial" w:cs="Arial"/>
        </w:rPr>
      </w:pPr>
      <w:r>
        <w:rPr>
          <w:rFonts w:ascii="Arial" w:hAnsi="Arial" w:cs="Arial"/>
          <w:bCs/>
          <w:lang w:val="en-GB"/>
        </w:rPr>
        <w:t xml:space="preserve">Safeguarding policy and Curriculum policies </w:t>
      </w:r>
      <w:r w:rsidR="00975988">
        <w:rPr>
          <w:rFonts w:ascii="Arial" w:hAnsi="Arial" w:cs="Arial"/>
          <w:bCs/>
          <w:lang w:val="en-GB"/>
        </w:rPr>
        <w:t>and will be reviewed every two</w:t>
      </w:r>
      <w:r>
        <w:rPr>
          <w:rFonts w:ascii="Arial" w:hAnsi="Arial" w:cs="Arial"/>
          <w:bCs/>
          <w:lang w:val="en-GB"/>
        </w:rPr>
        <w:t xml:space="preserve"> years.</w:t>
      </w:r>
    </w:p>
    <w:sectPr w:rsidR="00A81B11" w:rsidRPr="00075555" w:rsidSect="00513D34">
      <w:pgSz w:w="11900" w:h="16840"/>
      <w:pgMar w:top="1440" w:right="126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eworthy Bold">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5EB"/>
    <w:multiLevelType w:val="multilevel"/>
    <w:tmpl w:val="214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82F40"/>
    <w:multiLevelType w:val="multilevel"/>
    <w:tmpl w:val="C31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E684F"/>
    <w:multiLevelType w:val="multilevel"/>
    <w:tmpl w:val="E11A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8C22A1"/>
    <w:multiLevelType w:val="multilevel"/>
    <w:tmpl w:val="7C621AEA"/>
    <w:numStyleLink w:val="Style1"/>
  </w:abstractNum>
  <w:abstractNum w:abstractNumId="4">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nsid w:val="50372198"/>
    <w:multiLevelType w:val="hybridMultilevel"/>
    <w:tmpl w:val="08586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8">
    <w:nsid w:val="72FE3AA4"/>
    <w:multiLevelType w:val="hybridMultilevel"/>
    <w:tmpl w:val="CA7EDC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3"/>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34"/>
    <w:rsid w:val="00075555"/>
    <w:rsid w:val="001E22FC"/>
    <w:rsid w:val="0027630A"/>
    <w:rsid w:val="00513D34"/>
    <w:rsid w:val="00517529"/>
    <w:rsid w:val="0062124F"/>
    <w:rsid w:val="008550F0"/>
    <w:rsid w:val="009246AB"/>
    <w:rsid w:val="00975988"/>
    <w:rsid w:val="00A81B11"/>
    <w:rsid w:val="00A96F55"/>
    <w:rsid w:val="00AF66A1"/>
    <w:rsid w:val="00A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4C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517529"/>
    <w:pPr>
      <w:numPr>
        <w:numId w:val="7"/>
      </w:numPr>
      <w:spacing w:after="200" w:line="276" w:lineRule="auto"/>
      <w:ind w:left="1077" w:hanging="720"/>
      <w:outlineLvl w:val="0"/>
    </w:pPr>
    <w:rPr>
      <w:rFonts w:asciiTheme="majorHAnsi" w:eastAsiaTheme="minorHAnsi" w:hAnsiTheme="majorHAnsi" w:cstheme="majorHAns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D3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13D34"/>
    <w:pPr>
      <w:ind w:left="720"/>
      <w:contextualSpacing/>
    </w:pPr>
  </w:style>
  <w:style w:type="table" w:styleId="TableGrid">
    <w:name w:val="Table Grid"/>
    <w:basedOn w:val="TableNormal"/>
    <w:uiPriority w:val="59"/>
    <w:rsid w:val="0007555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075555"/>
    <w:pPr>
      <w:jc w:val="center"/>
    </w:pPr>
    <w:rPr>
      <w:rFonts w:ascii="Times New Roman" w:eastAsia="Times New Roman" w:hAnsi="Times New Roman" w:cs="Times New Roman"/>
      <w:b/>
      <w:bCs/>
      <w:sz w:val="44"/>
      <w:lang w:val="en-GB"/>
    </w:rPr>
  </w:style>
  <w:style w:type="character" w:customStyle="1" w:styleId="BodyTextChar">
    <w:name w:val="Body Text Char"/>
    <w:basedOn w:val="DefaultParagraphFont"/>
    <w:link w:val="BodyText"/>
    <w:semiHidden/>
    <w:rsid w:val="00075555"/>
    <w:rPr>
      <w:rFonts w:ascii="Times New Roman" w:eastAsia="Times New Roman" w:hAnsi="Times New Roman" w:cs="Times New Roman"/>
      <w:b/>
      <w:bCs/>
      <w:sz w:val="44"/>
      <w:lang w:val="en-GB"/>
    </w:rPr>
  </w:style>
  <w:style w:type="paragraph" w:styleId="BalloonText">
    <w:name w:val="Balloon Text"/>
    <w:basedOn w:val="Normal"/>
    <w:link w:val="BalloonTextChar"/>
    <w:uiPriority w:val="99"/>
    <w:semiHidden/>
    <w:unhideWhenUsed/>
    <w:rsid w:val="00075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55"/>
    <w:rPr>
      <w:rFonts w:ascii="Lucida Grande" w:hAnsi="Lucida Grande" w:cs="Lucida Grande"/>
      <w:sz w:val="18"/>
      <w:szCs w:val="18"/>
    </w:rPr>
  </w:style>
  <w:style w:type="paragraph" w:customStyle="1" w:styleId="TSB-PolicyBullets">
    <w:name w:val="TSB - Policy Bullets"/>
    <w:basedOn w:val="ListParagraph"/>
    <w:link w:val="TSB-PolicyBulletsChar"/>
    <w:qFormat/>
    <w:rsid w:val="00517529"/>
    <w:pPr>
      <w:numPr>
        <w:numId w:val="5"/>
      </w:numPr>
      <w:spacing w:before="200" w:after="200" w:line="276" w:lineRule="auto"/>
      <w:ind w:left="1491" w:hanging="357"/>
    </w:pPr>
    <w:rPr>
      <w:rFonts w:eastAsiaTheme="minorHAnsi"/>
      <w:sz w:val="22"/>
      <w:szCs w:val="22"/>
      <w:lang w:val="en-GB"/>
    </w:rPr>
  </w:style>
  <w:style w:type="character" w:customStyle="1" w:styleId="TSB-PolicyBulletsChar">
    <w:name w:val="TSB - Policy Bullets Char"/>
    <w:basedOn w:val="DefaultParagraphFont"/>
    <w:link w:val="TSB-PolicyBullets"/>
    <w:rsid w:val="00517529"/>
    <w:rPr>
      <w:rFonts w:eastAsiaTheme="minorHAnsi"/>
      <w:sz w:val="22"/>
      <w:szCs w:val="22"/>
      <w:lang w:val="en-GB"/>
    </w:rPr>
  </w:style>
  <w:style w:type="character" w:customStyle="1" w:styleId="Heading1Char">
    <w:name w:val="Heading 1 Char"/>
    <w:aliases w:val="TSB Headings Char"/>
    <w:basedOn w:val="DefaultParagraphFont"/>
    <w:link w:val="Heading1"/>
    <w:uiPriority w:val="9"/>
    <w:rsid w:val="00517529"/>
    <w:rPr>
      <w:rFonts w:asciiTheme="majorHAnsi" w:eastAsiaTheme="minorHAnsi" w:hAnsiTheme="majorHAnsi" w:cstheme="majorHAnsi"/>
      <w:sz w:val="28"/>
      <w:szCs w:val="32"/>
      <w:lang w:val="en-GB"/>
    </w:rPr>
  </w:style>
  <w:style w:type="character" w:styleId="Hyperlink">
    <w:name w:val="Hyperlink"/>
    <w:basedOn w:val="DefaultParagraphFont"/>
    <w:uiPriority w:val="99"/>
    <w:unhideWhenUsed/>
    <w:rsid w:val="00517529"/>
    <w:rPr>
      <w:color w:val="0000FF"/>
      <w:u w:val="single"/>
    </w:rPr>
  </w:style>
  <w:style w:type="numbering" w:customStyle="1" w:styleId="Style1">
    <w:name w:val="Style1"/>
    <w:basedOn w:val="NoList"/>
    <w:uiPriority w:val="99"/>
    <w:rsid w:val="00517529"/>
    <w:pPr>
      <w:numPr>
        <w:numId w:val="6"/>
      </w:numPr>
    </w:pPr>
  </w:style>
  <w:style w:type="paragraph" w:customStyle="1" w:styleId="TSB-Level1Numbers">
    <w:name w:val="TSB - Level 1 Numbers"/>
    <w:basedOn w:val="Heading1"/>
    <w:link w:val="TSB-Level1NumbersChar"/>
    <w:qFormat/>
    <w:rsid w:val="00517529"/>
    <w:pPr>
      <w:numPr>
        <w:ilvl w:val="1"/>
      </w:numPr>
      <w:ind w:left="1423"/>
      <w:contextualSpacing w:val="0"/>
    </w:pPr>
    <w:rPr>
      <w:rFonts w:cstheme="minorHAnsi"/>
      <w:sz w:val="22"/>
    </w:rPr>
  </w:style>
  <w:style w:type="paragraph" w:customStyle="1" w:styleId="TSB-Level2Numbers">
    <w:name w:val="TSB - Level 2 Numbers"/>
    <w:basedOn w:val="TSB-Level1Numbers"/>
    <w:qFormat/>
    <w:rsid w:val="00517529"/>
    <w:pPr>
      <w:numPr>
        <w:ilvl w:val="2"/>
      </w:numPr>
      <w:ind w:left="2223" w:hanging="998"/>
    </w:pPr>
  </w:style>
  <w:style w:type="character" w:customStyle="1" w:styleId="TSB-Level1NumbersChar">
    <w:name w:val="TSB - Level 1 Numbers Char"/>
    <w:basedOn w:val="Heading1Char"/>
    <w:link w:val="TSB-Level1Numbers"/>
    <w:rsid w:val="00517529"/>
    <w:rPr>
      <w:rFonts w:asciiTheme="majorHAnsi" w:eastAsiaTheme="minorHAnsi" w:hAnsiTheme="majorHAnsi" w:cstheme="minorHAnsi"/>
      <w:sz w:val="2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517529"/>
    <w:pPr>
      <w:numPr>
        <w:numId w:val="7"/>
      </w:numPr>
      <w:spacing w:after="200" w:line="276" w:lineRule="auto"/>
      <w:ind w:left="1077" w:hanging="720"/>
      <w:outlineLvl w:val="0"/>
    </w:pPr>
    <w:rPr>
      <w:rFonts w:asciiTheme="majorHAnsi" w:eastAsiaTheme="minorHAnsi" w:hAnsiTheme="majorHAnsi" w:cstheme="majorHAns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D3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13D34"/>
    <w:pPr>
      <w:ind w:left="720"/>
      <w:contextualSpacing/>
    </w:pPr>
  </w:style>
  <w:style w:type="table" w:styleId="TableGrid">
    <w:name w:val="Table Grid"/>
    <w:basedOn w:val="TableNormal"/>
    <w:uiPriority w:val="59"/>
    <w:rsid w:val="0007555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075555"/>
    <w:pPr>
      <w:jc w:val="center"/>
    </w:pPr>
    <w:rPr>
      <w:rFonts w:ascii="Times New Roman" w:eastAsia="Times New Roman" w:hAnsi="Times New Roman" w:cs="Times New Roman"/>
      <w:b/>
      <w:bCs/>
      <w:sz w:val="44"/>
      <w:lang w:val="en-GB"/>
    </w:rPr>
  </w:style>
  <w:style w:type="character" w:customStyle="1" w:styleId="BodyTextChar">
    <w:name w:val="Body Text Char"/>
    <w:basedOn w:val="DefaultParagraphFont"/>
    <w:link w:val="BodyText"/>
    <w:semiHidden/>
    <w:rsid w:val="00075555"/>
    <w:rPr>
      <w:rFonts w:ascii="Times New Roman" w:eastAsia="Times New Roman" w:hAnsi="Times New Roman" w:cs="Times New Roman"/>
      <w:b/>
      <w:bCs/>
      <w:sz w:val="44"/>
      <w:lang w:val="en-GB"/>
    </w:rPr>
  </w:style>
  <w:style w:type="paragraph" w:styleId="BalloonText">
    <w:name w:val="Balloon Text"/>
    <w:basedOn w:val="Normal"/>
    <w:link w:val="BalloonTextChar"/>
    <w:uiPriority w:val="99"/>
    <w:semiHidden/>
    <w:unhideWhenUsed/>
    <w:rsid w:val="00075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55"/>
    <w:rPr>
      <w:rFonts w:ascii="Lucida Grande" w:hAnsi="Lucida Grande" w:cs="Lucida Grande"/>
      <w:sz w:val="18"/>
      <w:szCs w:val="18"/>
    </w:rPr>
  </w:style>
  <w:style w:type="paragraph" w:customStyle="1" w:styleId="TSB-PolicyBullets">
    <w:name w:val="TSB - Policy Bullets"/>
    <w:basedOn w:val="ListParagraph"/>
    <w:link w:val="TSB-PolicyBulletsChar"/>
    <w:qFormat/>
    <w:rsid w:val="00517529"/>
    <w:pPr>
      <w:numPr>
        <w:numId w:val="5"/>
      </w:numPr>
      <w:spacing w:before="200" w:after="200" w:line="276" w:lineRule="auto"/>
      <w:ind w:left="1491" w:hanging="357"/>
    </w:pPr>
    <w:rPr>
      <w:rFonts w:eastAsiaTheme="minorHAnsi"/>
      <w:sz w:val="22"/>
      <w:szCs w:val="22"/>
      <w:lang w:val="en-GB"/>
    </w:rPr>
  </w:style>
  <w:style w:type="character" w:customStyle="1" w:styleId="TSB-PolicyBulletsChar">
    <w:name w:val="TSB - Policy Bullets Char"/>
    <w:basedOn w:val="DefaultParagraphFont"/>
    <w:link w:val="TSB-PolicyBullets"/>
    <w:rsid w:val="00517529"/>
    <w:rPr>
      <w:rFonts w:eastAsiaTheme="minorHAnsi"/>
      <w:sz w:val="22"/>
      <w:szCs w:val="22"/>
      <w:lang w:val="en-GB"/>
    </w:rPr>
  </w:style>
  <w:style w:type="character" w:customStyle="1" w:styleId="Heading1Char">
    <w:name w:val="Heading 1 Char"/>
    <w:aliases w:val="TSB Headings Char"/>
    <w:basedOn w:val="DefaultParagraphFont"/>
    <w:link w:val="Heading1"/>
    <w:uiPriority w:val="9"/>
    <w:rsid w:val="00517529"/>
    <w:rPr>
      <w:rFonts w:asciiTheme="majorHAnsi" w:eastAsiaTheme="minorHAnsi" w:hAnsiTheme="majorHAnsi" w:cstheme="majorHAnsi"/>
      <w:sz w:val="28"/>
      <w:szCs w:val="32"/>
      <w:lang w:val="en-GB"/>
    </w:rPr>
  </w:style>
  <w:style w:type="character" w:styleId="Hyperlink">
    <w:name w:val="Hyperlink"/>
    <w:basedOn w:val="DefaultParagraphFont"/>
    <w:uiPriority w:val="99"/>
    <w:unhideWhenUsed/>
    <w:rsid w:val="00517529"/>
    <w:rPr>
      <w:color w:val="0000FF"/>
      <w:u w:val="single"/>
    </w:rPr>
  </w:style>
  <w:style w:type="numbering" w:customStyle="1" w:styleId="Style1">
    <w:name w:val="Style1"/>
    <w:basedOn w:val="NoList"/>
    <w:uiPriority w:val="99"/>
    <w:rsid w:val="00517529"/>
    <w:pPr>
      <w:numPr>
        <w:numId w:val="6"/>
      </w:numPr>
    </w:pPr>
  </w:style>
  <w:style w:type="paragraph" w:customStyle="1" w:styleId="TSB-Level1Numbers">
    <w:name w:val="TSB - Level 1 Numbers"/>
    <w:basedOn w:val="Heading1"/>
    <w:link w:val="TSB-Level1NumbersChar"/>
    <w:qFormat/>
    <w:rsid w:val="00517529"/>
    <w:pPr>
      <w:numPr>
        <w:ilvl w:val="1"/>
      </w:numPr>
      <w:ind w:left="1423"/>
      <w:contextualSpacing w:val="0"/>
    </w:pPr>
    <w:rPr>
      <w:rFonts w:cstheme="minorHAnsi"/>
      <w:sz w:val="22"/>
    </w:rPr>
  </w:style>
  <w:style w:type="paragraph" w:customStyle="1" w:styleId="TSB-Level2Numbers">
    <w:name w:val="TSB - Level 2 Numbers"/>
    <w:basedOn w:val="TSB-Level1Numbers"/>
    <w:qFormat/>
    <w:rsid w:val="00517529"/>
    <w:pPr>
      <w:numPr>
        <w:ilvl w:val="2"/>
      </w:numPr>
      <w:ind w:left="2223" w:hanging="998"/>
    </w:pPr>
  </w:style>
  <w:style w:type="character" w:customStyle="1" w:styleId="TSB-Level1NumbersChar">
    <w:name w:val="TSB - Level 1 Numbers Char"/>
    <w:basedOn w:val="Heading1Char"/>
    <w:link w:val="TSB-Level1Numbers"/>
    <w:rsid w:val="00517529"/>
    <w:rPr>
      <w:rFonts w:asciiTheme="majorHAnsi" w:eastAsiaTheme="minorHAnsi" w:hAnsiTheme="majorHAnsi" w:cstheme="minorHAnsi"/>
      <w:sz w:val="2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20">
      <w:bodyDiv w:val="1"/>
      <w:marLeft w:val="0"/>
      <w:marRight w:val="0"/>
      <w:marTop w:val="0"/>
      <w:marBottom w:val="0"/>
      <w:divBdr>
        <w:top w:val="none" w:sz="0" w:space="0" w:color="auto"/>
        <w:left w:val="none" w:sz="0" w:space="0" w:color="auto"/>
        <w:bottom w:val="none" w:sz="0" w:space="0" w:color="auto"/>
        <w:right w:val="none" w:sz="0" w:space="0" w:color="auto"/>
      </w:divBdr>
      <w:divsChild>
        <w:div w:id="1827938430">
          <w:marLeft w:val="0"/>
          <w:marRight w:val="0"/>
          <w:marTop w:val="0"/>
          <w:marBottom w:val="0"/>
          <w:divBdr>
            <w:top w:val="none" w:sz="0" w:space="0" w:color="auto"/>
            <w:left w:val="none" w:sz="0" w:space="0" w:color="auto"/>
            <w:bottom w:val="none" w:sz="0" w:space="0" w:color="auto"/>
            <w:right w:val="none" w:sz="0" w:space="0" w:color="auto"/>
          </w:divBdr>
          <w:divsChild>
            <w:div w:id="1051002261">
              <w:marLeft w:val="0"/>
              <w:marRight w:val="0"/>
              <w:marTop w:val="0"/>
              <w:marBottom w:val="0"/>
              <w:divBdr>
                <w:top w:val="none" w:sz="0" w:space="0" w:color="auto"/>
                <w:left w:val="none" w:sz="0" w:space="0" w:color="auto"/>
                <w:bottom w:val="none" w:sz="0" w:space="0" w:color="auto"/>
                <w:right w:val="none" w:sz="0" w:space="0" w:color="auto"/>
              </w:divBdr>
              <w:divsChild>
                <w:div w:id="1041247066">
                  <w:marLeft w:val="0"/>
                  <w:marRight w:val="0"/>
                  <w:marTop w:val="0"/>
                  <w:marBottom w:val="0"/>
                  <w:divBdr>
                    <w:top w:val="none" w:sz="0" w:space="0" w:color="auto"/>
                    <w:left w:val="none" w:sz="0" w:space="0" w:color="auto"/>
                    <w:bottom w:val="none" w:sz="0" w:space="0" w:color="auto"/>
                    <w:right w:val="none" w:sz="0" w:space="0" w:color="auto"/>
                  </w:divBdr>
                </w:div>
              </w:divsChild>
            </w:div>
            <w:div w:id="1678726409">
              <w:marLeft w:val="0"/>
              <w:marRight w:val="0"/>
              <w:marTop w:val="0"/>
              <w:marBottom w:val="0"/>
              <w:divBdr>
                <w:top w:val="none" w:sz="0" w:space="0" w:color="auto"/>
                <w:left w:val="none" w:sz="0" w:space="0" w:color="auto"/>
                <w:bottom w:val="none" w:sz="0" w:space="0" w:color="auto"/>
                <w:right w:val="none" w:sz="0" w:space="0" w:color="auto"/>
              </w:divBdr>
              <w:divsChild>
                <w:div w:id="1251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3410">
          <w:marLeft w:val="0"/>
          <w:marRight w:val="0"/>
          <w:marTop w:val="0"/>
          <w:marBottom w:val="0"/>
          <w:divBdr>
            <w:top w:val="none" w:sz="0" w:space="0" w:color="auto"/>
            <w:left w:val="none" w:sz="0" w:space="0" w:color="auto"/>
            <w:bottom w:val="none" w:sz="0" w:space="0" w:color="auto"/>
            <w:right w:val="none" w:sz="0" w:space="0" w:color="auto"/>
          </w:divBdr>
          <w:divsChild>
            <w:div w:id="969898242">
              <w:marLeft w:val="0"/>
              <w:marRight w:val="0"/>
              <w:marTop w:val="0"/>
              <w:marBottom w:val="0"/>
              <w:divBdr>
                <w:top w:val="none" w:sz="0" w:space="0" w:color="auto"/>
                <w:left w:val="none" w:sz="0" w:space="0" w:color="auto"/>
                <w:bottom w:val="none" w:sz="0" w:space="0" w:color="auto"/>
                <w:right w:val="none" w:sz="0" w:space="0" w:color="auto"/>
              </w:divBdr>
              <w:divsChild>
                <w:div w:id="255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5956">
          <w:marLeft w:val="0"/>
          <w:marRight w:val="0"/>
          <w:marTop w:val="0"/>
          <w:marBottom w:val="0"/>
          <w:divBdr>
            <w:top w:val="none" w:sz="0" w:space="0" w:color="auto"/>
            <w:left w:val="none" w:sz="0" w:space="0" w:color="auto"/>
            <w:bottom w:val="none" w:sz="0" w:space="0" w:color="auto"/>
            <w:right w:val="none" w:sz="0" w:space="0" w:color="auto"/>
          </w:divBdr>
          <w:divsChild>
            <w:div w:id="386875360">
              <w:marLeft w:val="0"/>
              <w:marRight w:val="0"/>
              <w:marTop w:val="0"/>
              <w:marBottom w:val="0"/>
              <w:divBdr>
                <w:top w:val="none" w:sz="0" w:space="0" w:color="auto"/>
                <w:left w:val="none" w:sz="0" w:space="0" w:color="auto"/>
                <w:bottom w:val="none" w:sz="0" w:space="0" w:color="auto"/>
                <w:right w:val="none" w:sz="0" w:space="0" w:color="auto"/>
              </w:divBdr>
              <w:divsChild>
                <w:div w:id="2179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42">
          <w:marLeft w:val="0"/>
          <w:marRight w:val="0"/>
          <w:marTop w:val="0"/>
          <w:marBottom w:val="0"/>
          <w:divBdr>
            <w:top w:val="none" w:sz="0" w:space="0" w:color="auto"/>
            <w:left w:val="none" w:sz="0" w:space="0" w:color="auto"/>
            <w:bottom w:val="none" w:sz="0" w:space="0" w:color="auto"/>
            <w:right w:val="none" w:sz="0" w:space="0" w:color="auto"/>
          </w:divBdr>
          <w:divsChild>
            <w:div w:id="1209881269">
              <w:marLeft w:val="0"/>
              <w:marRight w:val="0"/>
              <w:marTop w:val="0"/>
              <w:marBottom w:val="0"/>
              <w:divBdr>
                <w:top w:val="none" w:sz="0" w:space="0" w:color="auto"/>
                <w:left w:val="none" w:sz="0" w:space="0" w:color="auto"/>
                <w:bottom w:val="none" w:sz="0" w:space="0" w:color="auto"/>
                <w:right w:val="none" w:sz="0" w:space="0" w:color="auto"/>
              </w:divBdr>
              <w:divsChild>
                <w:div w:id="11252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4447">
          <w:marLeft w:val="0"/>
          <w:marRight w:val="0"/>
          <w:marTop w:val="0"/>
          <w:marBottom w:val="0"/>
          <w:divBdr>
            <w:top w:val="none" w:sz="0" w:space="0" w:color="auto"/>
            <w:left w:val="none" w:sz="0" w:space="0" w:color="auto"/>
            <w:bottom w:val="none" w:sz="0" w:space="0" w:color="auto"/>
            <w:right w:val="none" w:sz="0" w:space="0" w:color="auto"/>
          </w:divBdr>
          <w:divsChild>
            <w:div w:id="649017932">
              <w:marLeft w:val="0"/>
              <w:marRight w:val="0"/>
              <w:marTop w:val="0"/>
              <w:marBottom w:val="0"/>
              <w:divBdr>
                <w:top w:val="none" w:sz="0" w:space="0" w:color="auto"/>
                <w:left w:val="none" w:sz="0" w:space="0" w:color="auto"/>
                <w:bottom w:val="none" w:sz="0" w:space="0" w:color="auto"/>
                <w:right w:val="none" w:sz="0" w:space="0" w:color="auto"/>
              </w:divBdr>
              <w:divsChild>
                <w:div w:id="548615736">
                  <w:marLeft w:val="0"/>
                  <w:marRight w:val="0"/>
                  <w:marTop w:val="0"/>
                  <w:marBottom w:val="0"/>
                  <w:divBdr>
                    <w:top w:val="none" w:sz="0" w:space="0" w:color="auto"/>
                    <w:left w:val="none" w:sz="0" w:space="0" w:color="auto"/>
                    <w:bottom w:val="none" w:sz="0" w:space="0" w:color="auto"/>
                    <w:right w:val="none" w:sz="0" w:space="0" w:color="auto"/>
                  </w:divBdr>
                </w:div>
              </w:divsChild>
            </w:div>
            <w:div w:id="1246307941">
              <w:marLeft w:val="0"/>
              <w:marRight w:val="0"/>
              <w:marTop w:val="0"/>
              <w:marBottom w:val="0"/>
              <w:divBdr>
                <w:top w:val="none" w:sz="0" w:space="0" w:color="auto"/>
                <w:left w:val="none" w:sz="0" w:space="0" w:color="auto"/>
                <w:bottom w:val="none" w:sz="0" w:space="0" w:color="auto"/>
                <w:right w:val="none" w:sz="0" w:space="0" w:color="auto"/>
              </w:divBdr>
              <w:divsChild>
                <w:div w:id="2109037263">
                  <w:marLeft w:val="0"/>
                  <w:marRight w:val="0"/>
                  <w:marTop w:val="0"/>
                  <w:marBottom w:val="0"/>
                  <w:divBdr>
                    <w:top w:val="none" w:sz="0" w:space="0" w:color="auto"/>
                    <w:left w:val="none" w:sz="0" w:space="0" w:color="auto"/>
                    <w:bottom w:val="none" w:sz="0" w:space="0" w:color="auto"/>
                    <w:right w:val="none" w:sz="0" w:space="0" w:color="auto"/>
                  </w:divBdr>
                </w:div>
              </w:divsChild>
            </w:div>
            <w:div w:id="23558224">
              <w:marLeft w:val="0"/>
              <w:marRight w:val="0"/>
              <w:marTop w:val="0"/>
              <w:marBottom w:val="0"/>
              <w:divBdr>
                <w:top w:val="none" w:sz="0" w:space="0" w:color="auto"/>
                <w:left w:val="none" w:sz="0" w:space="0" w:color="auto"/>
                <w:bottom w:val="none" w:sz="0" w:space="0" w:color="auto"/>
                <w:right w:val="none" w:sz="0" w:space="0" w:color="auto"/>
              </w:divBdr>
              <w:divsChild>
                <w:div w:id="268244086">
                  <w:marLeft w:val="0"/>
                  <w:marRight w:val="0"/>
                  <w:marTop w:val="0"/>
                  <w:marBottom w:val="0"/>
                  <w:divBdr>
                    <w:top w:val="none" w:sz="0" w:space="0" w:color="auto"/>
                    <w:left w:val="none" w:sz="0" w:space="0" w:color="auto"/>
                    <w:bottom w:val="none" w:sz="0" w:space="0" w:color="auto"/>
                    <w:right w:val="none" w:sz="0" w:space="0" w:color="auto"/>
                  </w:divBdr>
                </w:div>
              </w:divsChild>
            </w:div>
            <w:div w:id="1762870244">
              <w:marLeft w:val="0"/>
              <w:marRight w:val="0"/>
              <w:marTop w:val="0"/>
              <w:marBottom w:val="0"/>
              <w:divBdr>
                <w:top w:val="none" w:sz="0" w:space="0" w:color="auto"/>
                <w:left w:val="none" w:sz="0" w:space="0" w:color="auto"/>
                <w:bottom w:val="none" w:sz="0" w:space="0" w:color="auto"/>
                <w:right w:val="none" w:sz="0" w:space="0" w:color="auto"/>
              </w:divBdr>
              <w:divsChild>
                <w:div w:id="932083456">
                  <w:marLeft w:val="0"/>
                  <w:marRight w:val="0"/>
                  <w:marTop w:val="0"/>
                  <w:marBottom w:val="0"/>
                  <w:divBdr>
                    <w:top w:val="none" w:sz="0" w:space="0" w:color="auto"/>
                    <w:left w:val="none" w:sz="0" w:space="0" w:color="auto"/>
                    <w:bottom w:val="none" w:sz="0" w:space="0" w:color="auto"/>
                    <w:right w:val="none" w:sz="0" w:space="0" w:color="auto"/>
                  </w:divBdr>
                </w:div>
              </w:divsChild>
            </w:div>
            <w:div w:id="946890600">
              <w:marLeft w:val="0"/>
              <w:marRight w:val="0"/>
              <w:marTop w:val="0"/>
              <w:marBottom w:val="0"/>
              <w:divBdr>
                <w:top w:val="none" w:sz="0" w:space="0" w:color="auto"/>
                <w:left w:val="none" w:sz="0" w:space="0" w:color="auto"/>
                <w:bottom w:val="none" w:sz="0" w:space="0" w:color="auto"/>
                <w:right w:val="none" w:sz="0" w:space="0" w:color="auto"/>
              </w:divBdr>
              <w:divsChild>
                <w:div w:id="458033374">
                  <w:marLeft w:val="0"/>
                  <w:marRight w:val="0"/>
                  <w:marTop w:val="0"/>
                  <w:marBottom w:val="0"/>
                  <w:divBdr>
                    <w:top w:val="none" w:sz="0" w:space="0" w:color="auto"/>
                    <w:left w:val="none" w:sz="0" w:space="0" w:color="auto"/>
                    <w:bottom w:val="none" w:sz="0" w:space="0" w:color="auto"/>
                    <w:right w:val="none" w:sz="0" w:space="0" w:color="auto"/>
                  </w:divBdr>
                </w:div>
              </w:divsChild>
            </w:div>
            <w:div w:id="1285961868">
              <w:marLeft w:val="0"/>
              <w:marRight w:val="0"/>
              <w:marTop w:val="0"/>
              <w:marBottom w:val="0"/>
              <w:divBdr>
                <w:top w:val="none" w:sz="0" w:space="0" w:color="auto"/>
                <w:left w:val="none" w:sz="0" w:space="0" w:color="auto"/>
                <w:bottom w:val="none" w:sz="0" w:space="0" w:color="auto"/>
                <w:right w:val="none" w:sz="0" w:space="0" w:color="auto"/>
              </w:divBdr>
              <w:divsChild>
                <w:div w:id="780294786">
                  <w:marLeft w:val="0"/>
                  <w:marRight w:val="0"/>
                  <w:marTop w:val="0"/>
                  <w:marBottom w:val="0"/>
                  <w:divBdr>
                    <w:top w:val="none" w:sz="0" w:space="0" w:color="auto"/>
                    <w:left w:val="none" w:sz="0" w:space="0" w:color="auto"/>
                    <w:bottom w:val="none" w:sz="0" w:space="0" w:color="auto"/>
                    <w:right w:val="none" w:sz="0" w:space="0" w:color="auto"/>
                  </w:divBdr>
                </w:div>
              </w:divsChild>
            </w:div>
            <w:div w:id="1513178623">
              <w:marLeft w:val="0"/>
              <w:marRight w:val="0"/>
              <w:marTop w:val="0"/>
              <w:marBottom w:val="0"/>
              <w:divBdr>
                <w:top w:val="none" w:sz="0" w:space="0" w:color="auto"/>
                <w:left w:val="none" w:sz="0" w:space="0" w:color="auto"/>
                <w:bottom w:val="none" w:sz="0" w:space="0" w:color="auto"/>
                <w:right w:val="none" w:sz="0" w:space="0" w:color="auto"/>
              </w:divBdr>
              <w:divsChild>
                <w:div w:id="1590237705">
                  <w:marLeft w:val="0"/>
                  <w:marRight w:val="0"/>
                  <w:marTop w:val="0"/>
                  <w:marBottom w:val="0"/>
                  <w:divBdr>
                    <w:top w:val="none" w:sz="0" w:space="0" w:color="auto"/>
                    <w:left w:val="none" w:sz="0" w:space="0" w:color="auto"/>
                    <w:bottom w:val="none" w:sz="0" w:space="0" w:color="auto"/>
                    <w:right w:val="none" w:sz="0" w:space="0" w:color="auto"/>
                  </w:divBdr>
                </w:div>
              </w:divsChild>
            </w:div>
            <w:div w:id="1344356515">
              <w:marLeft w:val="0"/>
              <w:marRight w:val="0"/>
              <w:marTop w:val="0"/>
              <w:marBottom w:val="0"/>
              <w:divBdr>
                <w:top w:val="none" w:sz="0" w:space="0" w:color="auto"/>
                <w:left w:val="none" w:sz="0" w:space="0" w:color="auto"/>
                <w:bottom w:val="none" w:sz="0" w:space="0" w:color="auto"/>
                <w:right w:val="none" w:sz="0" w:space="0" w:color="auto"/>
              </w:divBdr>
              <w:divsChild>
                <w:div w:id="1470366896">
                  <w:marLeft w:val="0"/>
                  <w:marRight w:val="0"/>
                  <w:marTop w:val="0"/>
                  <w:marBottom w:val="0"/>
                  <w:divBdr>
                    <w:top w:val="none" w:sz="0" w:space="0" w:color="auto"/>
                    <w:left w:val="none" w:sz="0" w:space="0" w:color="auto"/>
                    <w:bottom w:val="none" w:sz="0" w:space="0" w:color="auto"/>
                    <w:right w:val="none" w:sz="0" w:space="0" w:color="auto"/>
                  </w:divBdr>
                </w:div>
              </w:divsChild>
            </w:div>
            <w:div w:id="1347365750">
              <w:marLeft w:val="0"/>
              <w:marRight w:val="0"/>
              <w:marTop w:val="0"/>
              <w:marBottom w:val="0"/>
              <w:divBdr>
                <w:top w:val="none" w:sz="0" w:space="0" w:color="auto"/>
                <w:left w:val="none" w:sz="0" w:space="0" w:color="auto"/>
                <w:bottom w:val="none" w:sz="0" w:space="0" w:color="auto"/>
                <w:right w:val="none" w:sz="0" w:space="0" w:color="auto"/>
              </w:divBdr>
              <w:divsChild>
                <w:div w:id="1372804161">
                  <w:marLeft w:val="0"/>
                  <w:marRight w:val="0"/>
                  <w:marTop w:val="0"/>
                  <w:marBottom w:val="0"/>
                  <w:divBdr>
                    <w:top w:val="none" w:sz="0" w:space="0" w:color="auto"/>
                    <w:left w:val="none" w:sz="0" w:space="0" w:color="auto"/>
                    <w:bottom w:val="none" w:sz="0" w:space="0" w:color="auto"/>
                    <w:right w:val="none" w:sz="0" w:space="0" w:color="auto"/>
                  </w:divBdr>
                </w:div>
              </w:divsChild>
            </w:div>
            <w:div w:id="1313024772">
              <w:marLeft w:val="0"/>
              <w:marRight w:val="0"/>
              <w:marTop w:val="0"/>
              <w:marBottom w:val="0"/>
              <w:divBdr>
                <w:top w:val="none" w:sz="0" w:space="0" w:color="auto"/>
                <w:left w:val="none" w:sz="0" w:space="0" w:color="auto"/>
                <w:bottom w:val="none" w:sz="0" w:space="0" w:color="auto"/>
                <w:right w:val="none" w:sz="0" w:space="0" w:color="auto"/>
              </w:divBdr>
              <w:divsChild>
                <w:div w:id="1396273075">
                  <w:marLeft w:val="0"/>
                  <w:marRight w:val="0"/>
                  <w:marTop w:val="0"/>
                  <w:marBottom w:val="0"/>
                  <w:divBdr>
                    <w:top w:val="none" w:sz="0" w:space="0" w:color="auto"/>
                    <w:left w:val="none" w:sz="0" w:space="0" w:color="auto"/>
                    <w:bottom w:val="none" w:sz="0" w:space="0" w:color="auto"/>
                    <w:right w:val="none" w:sz="0" w:space="0" w:color="auto"/>
                  </w:divBdr>
                </w:div>
              </w:divsChild>
            </w:div>
            <w:div w:id="1826316031">
              <w:marLeft w:val="0"/>
              <w:marRight w:val="0"/>
              <w:marTop w:val="0"/>
              <w:marBottom w:val="0"/>
              <w:divBdr>
                <w:top w:val="none" w:sz="0" w:space="0" w:color="auto"/>
                <w:left w:val="none" w:sz="0" w:space="0" w:color="auto"/>
                <w:bottom w:val="none" w:sz="0" w:space="0" w:color="auto"/>
                <w:right w:val="none" w:sz="0" w:space="0" w:color="auto"/>
              </w:divBdr>
              <w:divsChild>
                <w:div w:id="1472361012">
                  <w:marLeft w:val="0"/>
                  <w:marRight w:val="0"/>
                  <w:marTop w:val="0"/>
                  <w:marBottom w:val="0"/>
                  <w:divBdr>
                    <w:top w:val="none" w:sz="0" w:space="0" w:color="auto"/>
                    <w:left w:val="none" w:sz="0" w:space="0" w:color="auto"/>
                    <w:bottom w:val="none" w:sz="0" w:space="0" w:color="auto"/>
                    <w:right w:val="none" w:sz="0" w:space="0" w:color="auto"/>
                  </w:divBdr>
                </w:div>
              </w:divsChild>
            </w:div>
            <w:div w:id="1840073175">
              <w:marLeft w:val="0"/>
              <w:marRight w:val="0"/>
              <w:marTop w:val="0"/>
              <w:marBottom w:val="0"/>
              <w:divBdr>
                <w:top w:val="none" w:sz="0" w:space="0" w:color="auto"/>
                <w:left w:val="none" w:sz="0" w:space="0" w:color="auto"/>
                <w:bottom w:val="none" w:sz="0" w:space="0" w:color="auto"/>
                <w:right w:val="none" w:sz="0" w:space="0" w:color="auto"/>
              </w:divBdr>
              <w:divsChild>
                <w:div w:id="326177025">
                  <w:marLeft w:val="0"/>
                  <w:marRight w:val="0"/>
                  <w:marTop w:val="0"/>
                  <w:marBottom w:val="0"/>
                  <w:divBdr>
                    <w:top w:val="none" w:sz="0" w:space="0" w:color="auto"/>
                    <w:left w:val="none" w:sz="0" w:space="0" w:color="auto"/>
                    <w:bottom w:val="none" w:sz="0" w:space="0" w:color="auto"/>
                    <w:right w:val="none" w:sz="0" w:space="0" w:color="auto"/>
                  </w:divBdr>
                </w:div>
              </w:divsChild>
            </w:div>
            <w:div w:id="2090494755">
              <w:marLeft w:val="0"/>
              <w:marRight w:val="0"/>
              <w:marTop w:val="0"/>
              <w:marBottom w:val="0"/>
              <w:divBdr>
                <w:top w:val="none" w:sz="0" w:space="0" w:color="auto"/>
                <w:left w:val="none" w:sz="0" w:space="0" w:color="auto"/>
                <w:bottom w:val="none" w:sz="0" w:space="0" w:color="auto"/>
                <w:right w:val="none" w:sz="0" w:space="0" w:color="auto"/>
              </w:divBdr>
              <w:divsChild>
                <w:div w:id="13077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Barley</dc:creator>
  <cp:keywords/>
  <dc:description/>
  <cp:lastModifiedBy>JEdwards</cp:lastModifiedBy>
  <cp:revision>3</cp:revision>
  <dcterms:created xsi:type="dcterms:W3CDTF">2020-01-24T14:54:00Z</dcterms:created>
  <dcterms:modified xsi:type="dcterms:W3CDTF">2022-01-28T13:53:00Z</dcterms:modified>
</cp:coreProperties>
</file>